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9E591" w14:textId="579443A2" w:rsidR="00E91B0D" w:rsidRPr="006A35F1" w:rsidRDefault="00016FBE" w:rsidP="006A35F1">
      <w:pPr>
        <w:spacing w:line="360" w:lineRule="auto"/>
        <w:rPr>
          <w:rFonts w:ascii="Arial" w:hAnsi="Arial" w:cs="Arial"/>
          <w:b/>
          <w:sz w:val="24"/>
          <w:szCs w:val="24"/>
        </w:rPr>
      </w:pPr>
      <w:r w:rsidRPr="006A35F1">
        <w:rPr>
          <w:rFonts w:ascii="Arial" w:hAnsi="Arial" w:cs="Arial"/>
          <w:b/>
          <w:sz w:val="24"/>
          <w:szCs w:val="24"/>
        </w:rPr>
        <w:t>Encefalopatía de Hashimoto resistente a corticoides: reporte de caso y revisión bibliográfica</w:t>
      </w:r>
      <w:r w:rsidR="00570B35" w:rsidRPr="006A35F1">
        <w:rPr>
          <w:rFonts w:ascii="Arial" w:hAnsi="Arial" w:cs="Arial"/>
          <w:b/>
          <w:sz w:val="24"/>
          <w:szCs w:val="24"/>
        </w:rPr>
        <w:t>.</w:t>
      </w:r>
    </w:p>
    <w:p w14:paraId="58BFD474" w14:textId="77777777" w:rsidR="00016FBE" w:rsidRPr="006A35F1" w:rsidRDefault="00016FBE" w:rsidP="00016FBE">
      <w:pPr>
        <w:pBdr>
          <w:top w:val="nil"/>
          <w:left w:val="nil"/>
          <w:bottom w:val="nil"/>
          <w:right w:val="nil"/>
          <w:between w:val="nil"/>
        </w:pBdr>
        <w:spacing w:after="0" w:line="360" w:lineRule="auto"/>
        <w:jc w:val="both"/>
        <w:rPr>
          <w:rFonts w:ascii="Arial" w:hAnsi="Arial" w:cs="Arial"/>
          <w:sz w:val="24"/>
          <w:szCs w:val="24"/>
        </w:rPr>
      </w:pPr>
    </w:p>
    <w:p w14:paraId="08C01DA2" w14:textId="15D1966E" w:rsidR="00F855FD" w:rsidRPr="006A35F1" w:rsidRDefault="00AC22C2" w:rsidP="00016FBE">
      <w:pPr>
        <w:pBdr>
          <w:top w:val="nil"/>
          <w:left w:val="nil"/>
          <w:bottom w:val="nil"/>
          <w:right w:val="nil"/>
          <w:between w:val="nil"/>
        </w:pBdr>
        <w:spacing w:after="0" w:line="360" w:lineRule="auto"/>
        <w:jc w:val="both"/>
        <w:rPr>
          <w:rFonts w:ascii="Arial" w:hAnsi="Arial" w:cs="Arial"/>
          <w:bCs/>
          <w:color w:val="000000"/>
          <w:sz w:val="24"/>
          <w:szCs w:val="24"/>
        </w:rPr>
      </w:pPr>
      <w:r w:rsidRPr="006A35F1">
        <w:rPr>
          <w:rFonts w:ascii="Arial" w:hAnsi="Arial" w:cs="Arial"/>
          <w:b/>
          <w:sz w:val="24"/>
          <w:szCs w:val="24"/>
        </w:rPr>
        <w:t>Resumen</w:t>
      </w:r>
      <w:r w:rsidR="006A35F1" w:rsidRPr="006A35F1">
        <w:rPr>
          <w:rFonts w:ascii="Arial" w:hAnsi="Arial" w:cs="Arial"/>
          <w:sz w:val="24"/>
          <w:szCs w:val="24"/>
        </w:rPr>
        <w:t xml:space="preserve">: </w:t>
      </w:r>
      <w:r w:rsidRPr="006A35F1">
        <w:rPr>
          <w:rFonts w:ascii="Arial" w:hAnsi="Arial" w:cs="Arial"/>
          <w:color w:val="000000"/>
          <w:sz w:val="24"/>
          <w:szCs w:val="24"/>
        </w:rPr>
        <w:t>Objetivo</w:t>
      </w:r>
      <w:r w:rsidRPr="006A35F1">
        <w:rPr>
          <w:rFonts w:ascii="Arial" w:hAnsi="Arial" w:cs="Arial"/>
          <w:bCs/>
          <w:color w:val="000000"/>
          <w:sz w:val="24"/>
          <w:szCs w:val="24"/>
        </w:rPr>
        <w:t xml:space="preserve">: </w:t>
      </w:r>
      <w:r w:rsidRPr="006A35F1">
        <w:rPr>
          <w:rFonts w:ascii="Arial" w:hAnsi="Arial" w:cs="Arial"/>
          <w:color w:val="000000"/>
          <w:sz w:val="24"/>
          <w:szCs w:val="24"/>
        </w:rPr>
        <w:t>presenta</w:t>
      </w:r>
      <w:r w:rsidR="007B7005" w:rsidRPr="006A35F1">
        <w:rPr>
          <w:rFonts w:ascii="Arial" w:hAnsi="Arial" w:cs="Arial"/>
          <w:color w:val="000000"/>
          <w:sz w:val="24"/>
          <w:szCs w:val="24"/>
        </w:rPr>
        <w:t>r</w:t>
      </w:r>
      <w:r w:rsidRPr="006A35F1">
        <w:rPr>
          <w:rFonts w:ascii="Arial" w:hAnsi="Arial" w:cs="Arial"/>
          <w:bCs/>
          <w:color w:val="000000"/>
          <w:sz w:val="24"/>
          <w:szCs w:val="24"/>
        </w:rPr>
        <w:t xml:space="preserve"> el caso de un paciente con diagnóstico de encefalopatía de Hashimoto que requirió</w:t>
      </w:r>
      <w:r w:rsidR="00F855FD" w:rsidRPr="006A35F1">
        <w:rPr>
          <w:rFonts w:ascii="Arial" w:hAnsi="Arial" w:cs="Arial"/>
          <w:bCs/>
          <w:color w:val="000000"/>
          <w:sz w:val="24"/>
          <w:szCs w:val="24"/>
        </w:rPr>
        <w:t xml:space="preserve"> terapia </w:t>
      </w:r>
      <w:r w:rsidR="003D3BDD" w:rsidRPr="006A35F1">
        <w:rPr>
          <w:rFonts w:ascii="Arial" w:hAnsi="Arial" w:cs="Arial"/>
          <w:color w:val="000000"/>
          <w:sz w:val="24"/>
          <w:szCs w:val="24"/>
        </w:rPr>
        <w:t>endovenosa</w:t>
      </w:r>
      <w:r w:rsidR="003D3BDD" w:rsidRPr="006A35F1">
        <w:rPr>
          <w:rFonts w:ascii="Arial" w:hAnsi="Arial" w:cs="Arial"/>
          <w:bCs/>
          <w:color w:val="000000"/>
          <w:sz w:val="24"/>
          <w:szCs w:val="24"/>
        </w:rPr>
        <w:t xml:space="preserve"> </w:t>
      </w:r>
      <w:r w:rsidR="00F855FD" w:rsidRPr="006A35F1">
        <w:rPr>
          <w:rFonts w:ascii="Arial" w:hAnsi="Arial" w:cs="Arial"/>
          <w:bCs/>
          <w:color w:val="000000"/>
          <w:sz w:val="24"/>
          <w:szCs w:val="24"/>
        </w:rPr>
        <w:t>con inmunoglobulina para alcanzar una respuesta clínica completa.</w:t>
      </w:r>
      <w:r w:rsidR="006A35F1" w:rsidRPr="006A35F1">
        <w:rPr>
          <w:rFonts w:ascii="Arial" w:hAnsi="Arial" w:cs="Arial"/>
          <w:bCs/>
          <w:color w:val="000000"/>
          <w:sz w:val="24"/>
          <w:szCs w:val="24"/>
        </w:rPr>
        <w:t xml:space="preserve"> </w:t>
      </w:r>
      <w:r w:rsidR="00F855FD" w:rsidRPr="006A35F1">
        <w:rPr>
          <w:rFonts w:ascii="Arial" w:hAnsi="Arial" w:cs="Arial"/>
          <w:bCs/>
          <w:color w:val="000000"/>
          <w:sz w:val="24"/>
          <w:szCs w:val="24"/>
        </w:rPr>
        <w:t>Resultados: paciente</w:t>
      </w:r>
      <w:r w:rsidR="007B7005" w:rsidRPr="006A35F1">
        <w:rPr>
          <w:rFonts w:ascii="Arial" w:hAnsi="Arial" w:cs="Arial"/>
          <w:bCs/>
          <w:color w:val="000000"/>
          <w:sz w:val="24"/>
          <w:szCs w:val="24"/>
        </w:rPr>
        <w:t xml:space="preserve"> </w:t>
      </w:r>
      <w:r w:rsidR="007B7005" w:rsidRPr="006A35F1">
        <w:rPr>
          <w:rFonts w:ascii="Arial" w:hAnsi="Arial" w:cs="Arial"/>
          <w:color w:val="000000"/>
          <w:sz w:val="24"/>
          <w:szCs w:val="24"/>
        </w:rPr>
        <w:t>masculino</w:t>
      </w:r>
      <w:r w:rsidR="00F855FD" w:rsidRPr="006A35F1">
        <w:rPr>
          <w:rFonts w:ascii="Arial" w:hAnsi="Arial" w:cs="Arial"/>
          <w:bCs/>
          <w:color w:val="000000"/>
          <w:sz w:val="24"/>
          <w:szCs w:val="24"/>
        </w:rPr>
        <w:t xml:space="preserve"> de 46 </w:t>
      </w:r>
      <w:r w:rsidR="00F855FD" w:rsidRPr="006A35F1">
        <w:rPr>
          <w:rFonts w:ascii="Arial" w:hAnsi="Arial" w:cs="Arial"/>
          <w:color w:val="000000"/>
          <w:sz w:val="24"/>
          <w:szCs w:val="24"/>
        </w:rPr>
        <w:t>año</w:t>
      </w:r>
      <w:r w:rsidR="009B705D" w:rsidRPr="006A35F1">
        <w:rPr>
          <w:rFonts w:ascii="Arial" w:hAnsi="Arial" w:cs="Arial"/>
          <w:color w:val="000000"/>
          <w:sz w:val="24"/>
          <w:szCs w:val="24"/>
        </w:rPr>
        <w:t>s</w:t>
      </w:r>
      <w:r w:rsidR="00F855FD" w:rsidRPr="006A35F1">
        <w:rPr>
          <w:rFonts w:ascii="Arial" w:hAnsi="Arial" w:cs="Arial"/>
          <w:bCs/>
          <w:color w:val="000000"/>
          <w:sz w:val="24"/>
          <w:szCs w:val="24"/>
        </w:rPr>
        <w:t xml:space="preserve"> con antecedente de hipotiroidismo </w:t>
      </w:r>
      <w:r w:rsidR="007B7005" w:rsidRPr="006A35F1">
        <w:rPr>
          <w:rFonts w:ascii="Arial" w:hAnsi="Arial" w:cs="Arial"/>
          <w:color w:val="000000"/>
          <w:sz w:val="24"/>
          <w:szCs w:val="24"/>
        </w:rPr>
        <w:t>fue</w:t>
      </w:r>
      <w:r w:rsidR="007B7005" w:rsidRPr="006A35F1">
        <w:rPr>
          <w:rFonts w:ascii="Arial" w:hAnsi="Arial" w:cs="Arial"/>
          <w:bCs/>
          <w:color w:val="000000"/>
          <w:sz w:val="24"/>
          <w:szCs w:val="24"/>
        </w:rPr>
        <w:t xml:space="preserve"> </w:t>
      </w:r>
      <w:r w:rsidR="00F855FD" w:rsidRPr="006A35F1">
        <w:rPr>
          <w:rFonts w:ascii="Arial" w:hAnsi="Arial" w:cs="Arial"/>
          <w:bCs/>
          <w:color w:val="000000"/>
          <w:sz w:val="24"/>
          <w:szCs w:val="24"/>
        </w:rPr>
        <w:t xml:space="preserve">ingresado al hospital por </w:t>
      </w:r>
      <w:r w:rsidR="007B7005" w:rsidRPr="006A35F1">
        <w:rPr>
          <w:rFonts w:ascii="Arial" w:hAnsi="Arial" w:cs="Arial"/>
          <w:color w:val="000000"/>
          <w:sz w:val="24"/>
          <w:szCs w:val="24"/>
        </w:rPr>
        <w:t xml:space="preserve">haber </w:t>
      </w:r>
      <w:r w:rsidR="00697702" w:rsidRPr="006A35F1">
        <w:rPr>
          <w:rFonts w:ascii="Arial" w:hAnsi="Arial" w:cs="Arial"/>
          <w:color w:val="000000"/>
          <w:sz w:val="24"/>
          <w:szCs w:val="24"/>
        </w:rPr>
        <w:t>presentado</w:t>
      </w:r>
      <w:r w:rsidR="00F855FD" w:rsidRPr="006A35F1">
        <w:rPr>
          <w:rFonts w:ascii="Arial" w:hAnsi="Arial" w:cs="Arial"/>
          <w:bCs/>
          <w:color w:val="000000"/>
          <w:sz w:val="24"/>
          <w:szCs w:val="24"/>
        </w:rPr>
        <w:t xml:space="preserve"> cuadro de agitación psicomotriz, alteración del lenguaje y convulsiones, </w:t>
      </w:r>
      <w:r w:rsidR="00F855FD" w:rsidRPr="006A35F1">
        <w:rPr>
          <w:rFonts w:ascii="Arial" w:hAnsi="Arial" w:cs="Arial"/>
          <w:color w:val="000000"/>
          <w:sz w:val="24"/>
          <w:szCs w:val="24"/>
        </w:rPr>
        <w:t>con</w:t>
      </w:r>
      <w:r w:rsidR="007B7005" w:rsidRPr="006A35F1">
        <w:rPr>
          <w:rFonts w:ascii="Arial" w:hAnsi="Arial" w:cs="Arial"/>
          <w:color w:val="000000"/>
          <w:sz w:val="24"/>
          <w:szCs w:val="24"/>
        </w:rPr>
        <w:t xml:space="preserve"> necesidad de asistencia</w:t>
      </w:r>
      <w:r w:rsidR="00F855FD" w:rsidRPr="006A35F1">
        <w:rPr>
          <w:rFonts w:ascii="Arial" w:hAnsi="Arial" w:cs="Arial"/>
          <w:bCs/>
          <w:color w:val="000000"/>
          <w:sz w:val="24"/>
          <w:szCs w:val="24"/>
        </w:rPr>
        <w:t xml:space="preserve"> </w:t>
      </w:r>
      <w:r w:rsidR="00F855FD" w:rsidRPr="006A35F1">
        <w:rPr>
          <w:rFonts w:ascii="Arial" w:hAnsi="Arial" w:cs="Arial"/>
          <w:color w:val="000000"/>
          <w:sz w:val="24"/>
          <w:szCs w:val="24"/>
        </w:rPr>
        <w:t>ventila</w:t>
      </w:r>
      <w:r w:rsidR="003D3BDD" w:rsidRPr="006A35F1">
        <w:rPr>
          <w:rFonts w:ascii="Arial" w:hAnsi="Arial" w:cs="Arial"/>
          <w:color w:val="000000"/>
          <w:sz w:val="24"/>
          <w:szCs w:val="24"/>
        </w:rPr>
        <w:t>toria</w:t>
      </w:r>
      <w:r w:rsidR="00F855FD" w:rsidRPr="006A35F1">
        <w:rPr>
          <w:rFonts w:ascii="Arial" w:hAnsi="Arial" w:cs="Arial"/>
          <w:bCs/>
          <w:color w:val="000000"/>
          <w:sz w:val="24"/>
          <w:szCs w:val="24"/>
        </w:rPr>
        <w:t xml:space="preserve"> mecánica. </w:t>
      </w:r>
      <w:r w:rsidR="00697702" w:rsidRPr="006A35F1">
        <w:rPr>
          <w:rFonts w:ascii="Arial" w:hAnsi="Arial" w:cs="Arial"/>
          <w:color w:val="000000"/>
          <w:sz w:val="24"/>
          <w:szCs w:val="24"/>
        </w:rPr>
        <w:t>Se detectaron</w:t>
      </w:r>
      <w:r w:rsidR="00F855FD" w:rsidRPr="006A35F1">
        <w:rPr>
          <w:rFonts w:ascii="Arial" w:hAnsi="Arial" w:cs="Arial"/>
          <w:bCs/>
          <w:color w:val="000000"/>
          <w:sz w:val="24"/>
          <w:szCs w:val="24"/>
        </w:rPr>
        <w:t xml:space="preserve"> títulos séricos elevados de anticuerpos antitiroideos </w:t>
      </w:r>
      <w:r w:rsidR="003D3BDD" w:rsidRPr="006A35F1">
        <w:rPr>
          <w:rFonts w:ascii="Arial" w:hAnsi="Arial" w:cs="Arial"/>
          <w:color w:val="000000"/>
          <w:sz w:val="24"/>
          <w:szCs w:val="24"/>
        </w:rPr>
        <w:t>y</w:t>
      </w:r>
      <w:r w:rsidR="00F855FD" w:rsidRPr="006A35F1">
        <w:rPr>
          <w:rFonts w:ascii="Arial" w:hAnsi="Arial" w:cs="Arial"/>
          <w:bCs/>
          <w:color w:val="000000"/>
          <w:sz w:val="24"/>
          <w:szCs w:val="24"/>
        </w:rPr>
        <w:t xml:space="preserve"> anticuerpos anti-tiroglobulina en el líquido cefalorraquídeo. Se realizó tratamiento </w:t>
      </w:r>
      <w:r w:rsidR="003D3BDD" w:rsidRPr="006A35F1">
        <w:rPr>
          <w:rFonts w:ascii="Arial" w:hAnsi="Arial" w:cs="Arial"/>
          <w:color w:val="000000"/>
          <w:sz w:val="24"/>
          <w:szCs w:val="24"/>
        </w:rPr>
        <w:t>endovenoso</w:t>
      </w:r>
      <w:r w:rsidR="003D3BDD" w:rsidRPr="006A35F1">
        <w:rPr>
          <w:rFonts w:ascii="Arial" w:hAnsi="Arial" w:cs="Arial"/>
          <w:bCs/>
          <w:color w:val="000000"/>
          <w:sz w:val="24"/>
          <w:szCs w:val="24"/>
        </w:rPr>
        <w:t xml:space="preserve"> </w:t>
      </w:r>
      <w:r w:rsidR="00F855FD" w:rsidRPr="006A35F1">
        <w:rPr>
          <w:rFonts w:ascii="Arial" w:hAnsi="Arial" w:cs="Arial"/>
          <w:bCs/>
          <w:color w:val="000000"/>
          <w:sz w:val="24"/>
          <w:szCs w:val="24"/>
        </w:rPr>
        <w:t xml:space="preserve">con inmunoglobulinas, alcanzando </w:t>
      </w:r>
      <w:r w:rsidR="003D3BDD" w:rsidRPr="006A35F1">
        <w:rPr>
          <w:rFonts w:ascii="Arial" w:hAnsi="Arial" w:cs="Arial"/>
          <w:color w:val="000000"/>
          <w:sz w:val="24"/>
          <w:szCs w:val="24"/>
        </w:rPr>
        <w:t>una</w:t>
      </w:r>
      <w:r w:rsidR="003D3BDD" w:rsidRPr="006A35F1">
        <w:rPr>
          <w:rFonts w:ascii="Arial" w:hAnsi="Arial" w:cs="Arial"/>
          <w:bCs/>
          <w:color w:val="000000"/>
          <w:sz w:val="24"/>
          <w:szCs w:val="24"/>
        </w:rPr>
        <w:t xml:space="preserve"> </w:t>
      </w:r>
      <w:r w:rsidR="00F855FD" w:rsidRPr="006A35F1">
        <w:rPr>
          <w:rFonts w:ascii="Arial" w:hAnsi="Arial" w:cs="Arial"/>
          <w:bCs/>
          <w:color w:val="000000"/>
          <w:sz w:val="24"/>
          <w:szCs w:val="24"/>
        </w:rPr>
        <w:t>recuperación completa sin recaídas.</w:t>
      </w:r>
      <w:r w:rsidR="006A35F1" w:rsidRPr="006A35F1">
        <w:rPr>
          <w:rFonts w:ascii="Arial" w:hAnsi="Arial" w:cs="Arial"/>
          <w:bCs/>
          <w:color w:val="000000"/>
          <w:sz w:val="24"/>
          <w:szCs w:val="24"/>
        </w:rPr>
        <w:t xml:space="preserve"> </w:t>
      </w:r>
      <w:r w:rsidR="00F855FD" w:rsidRPr="006A35F1">
        <w:rPr>
          <w:rFonts w:ascii="Arial" w:hAnsi="Arial" w:cs="Arial"/>
          <w:bCs/>
          <w:color w:val="000000"/>
          <w:sz w:val="24"/>
          <w:szCs w:val="24"/>
        </w:rPr>
        <w:t>Discusión: nuestro objetivo es explicar la utilidad de la terapia endovenosa con inmunoglobulinas en pacientes con encefalopatía de Hashimoto que no responden a la terapia inicial con corticoides.</w:t>
      </w:r>
    </w:p>
    <w:p w14:paraId="23F7ABDB" w14:textId="77777777" w:rsidR="00AC22C2" w:rsidRPr="006A35F1" w:rsidRDefault="00AC22C2" w:rsidP="00016FBE">
      <w:pPr>
        <w:pBdr>
          <w:top w:val="nil"/>
          <w:left w:val="nil"/>
          <w:bottom w:val="nil"/>
          <w:right w:val="nil"/>
          <w:between w:val="nil"/>
        </w:pBdr>
        <w:spacing w:after="0" w:line="360" w:lineRule="auto"/>
        <w:jc w:val="both"/>
        <w:rPr>
          <w:rFonts w:ascii="Arial" w:hAnsi="Arial" w:cs="Arial"/>
          <w:bCs/>
          <w:color w:val="000000"/>
          <w:sz w:val="24"/>
          <w:szCs w:val="24"/>
        </w:rPr>
      </w:pPr>
    </w:p>
    <w:p w14:paraId="1FD1E42D" w14:textId="77777777" w:rsidR="006A35F1" w:rsidRPr="006A35F1" w:rsidRDefault="006A35F1" w:rsidP="00016FBE">
      <w:pPr>
        <w:pBdr>
          <w:top w:val="nil"/>
          <w:left w:val="nil"/>
          <w:bottom w:val="nil"/>
          <w:right w:val="nil"/>
          <w:between w:val="nil"/>
        </w:pBdr>
        <w:spacing w:after="0" w:line="360" w:lineRule="auto"/>
        <w:jc w:val="both"/>
        <w:rPr>
          <w:rFonts w:ascii="Arial" w:hAnsi="Arial" w:cs="Arial"/>
          <w:bCs/>
          <w:color w:val="000000"/>
          <w:sz w:val="24"/>
          <w:szCs w:val="24"/>
          <w:lang w:val="en-GB"/>
        </w:rPr>
      </w:pPr>
      <w:r w:rsidRPr="006A35F1">
        <w:rPr>
          <w:rFonts w:ascii="Arial" w:hAnsi="Arial" w:cs="Arial"/>
          <w:b/>
          <w:bCs/>
          <w:color w:val="000000"/>
          <w:sz w:val="24"/>
          <w:szCs w:val="24"/>
          <w:lang w:val="en-GB"/>
        </w:rPr>
        <w:t>Abstract</w:t>
      </w:r>
      <w:r w:rsidRPr="006A35F1">
        <w:rPr>
          <w:rFonts w:ascii="Arial" w:hAnsi="Arial" w:cs="Arial"/>
          <w:bCs/>
          <w:color w:val="000000"/>
          <w:sz w:val="24"/>
          <w:szCs w:val="24"/>
          <w:lang w:val="en-GB"/>
        </w:rPr>
        <w:t xml:space="preserve">: </w:t>
      </w:r>
    </w:p>
    <w:p w14:paraId="66AC0C00" w14:textId="1FBEDD88" w:rsidR="00AC22C2" w:rsidRPr="006A35F1" w:rsidRDefault="00AC22C2" w:rsidP="00016FBE">
      <w:pPr>
        <w:pBdr>
          <w:top w:val="nil"/>
          <w:left w:val="nil"/>
          <w:bottom w:val="nil"/>
          <w:right w:val="nil"/>
          <w:between w:val="nil"/>
        </w:pBdr>
        <w:spacing w:after="0" w:line="360" w:lineRule="auto"/>
        <w:jc w:val="both"/>
        <w:rPr>
          <w:rFonts w:ascii="Arial" w:hAnsi="Arial" w:cs="Arial"/>
          <w:sz w:val="24"/>
          <w:szCs w:val="24"/>
          <w:lang w:val="en-US"/>
        </w:rPr>
      </w:pPr>
      <w:r w:rsidRPr="006A35F1">
        <w:rPr>
          <w:rFonts w:ascii="Arial" w:hAnsi="Arial" w:cs="Arial"/>
          <w:bCs/>
          <w:color w:val="000000"/>
          <w:sz w:val="24"/>
          <w:szCs w:val="24"/>
          <w:lang w:val="en-US"/>
        </w:rPr>
        <w:t>O</w:t>
      </w:r>
      <w:r w:rsidR="00F855FD" w:rsidRPr="006A35F1">
        <w:rPr>
          <w:rFonts w:ascii="Arial" w:hAnsi="Arial" w:cs="Arial"/>
          <w:bCs/>
          <w:color w:val="000000"/>
          <w:sz w:val="24"/>
          <w:szCs w:val="24"/>
          <w:lang w:val="en-US"/>
        </w:rPr>
        <w:t>bjectives</w:t>
      </w:r>
      <w:r w:rsidRPr="006A35F1">
        <w:rPr>
          <w:rFonts w:ascii="Arial" w:hAnsi="Arial" w:cs="Arial"/>
          <w:bCs/>
          <w:color w:val="000000"/>
          <w:sz w:val="24"/>
          <w:szCs w:val="24"/>
          <w:lang w:val="en-US"/>
        </w:rPr>
        <w:t>: we present the case of a patient with diagnosis of Hashimoto´s encephalopathy who needed intravenous immunoglobulin therapy to reach full clinical response.</w:t>
      </w:r>
      <w:r w:rsidR="006A35F1" w:rsidRPr="006A35F1">
        <w:rPr>
          <w:rFonts w:ascii="Arial" w:hAnsi="Arial" w:cs="Arial"/>
          <w:bCs/>
          <w:color w:val="000000"/>
          <w:sz w:val="24"/>
          <w:szCs w:val="24"/>
          <w:lang w:val="en-US"/>
        </w:rPr>
        <w:t xml:space="preserve"> </w:t>
      </w:r>
      <w:r w:rsidRPr="006A35F1">
        <w:rPr>
          <w:rFonts w:ascii="Arial" w:hAnsi="Arial" w:cs="Arial"/>
          <w:bCs/>
          <w:color w:val="000000"/>
          <w:sz w:val="24"/>
          <w:szCs w:val="24"/>
          <w:lang w:val="en-US"/>
        </w:rPr>
        <w:t>R</w:t>
      </w:r>
      <w:r w:rsidR="00F855FD" w:rsidRPr="006A35F1">
        <w:rPr>
          <w:rFonts w:ascii="Arial" w:hAnsi="Arial" w:cs="Arial"/>
          <w:bCs/>
          <w:color w:val="000000"/>
          <w:sz w:val="24"/>
          <w:szCs w:val="24"/>
          <w:lang w:val="en-US"/>
        </w:rPr>
        <w:t>esults</w:t>
      </w:r>
      <w:r w:rsidRPr="006A35F1">
        <w:rPr>
          <w:rFonts w:ascii="Arial" w:hAnsi="Arial" w:cs="Arial"/>
          <w:bCs/>
          <w:color w:val="000000"/>
          <w:sz w:val="24"/>
          <w:szCs w:val="24"/>
          <w:lang w:val="en-US"/>
        </w:rPr>
        <w:t>: a 46-years-old male patient with a history of hypothyroidism was admitted in hospital for presenting psychomotor agitation, language disorder and seizures, with mechanical ventilation requirement. Tests for serum thyroid peroxidase and thyroglobulin antibodies were positive, with cerebrospinal fluid positive for thyroid globulin antibodies. The patient received intravenous immunoglobulin therapy with full recovery and no relapses.</w:t>
      </w:r>
      <w:r w:rsidR="006A35F1" w:rsidRPr="006A35F1">
        <w:rPr>
          <w:rFonts w:ascii="Arial" w:hAnsi="Arial" w:cs="Arial"/>
          <w:bCs/>
          <w:color w:val="000000"/>
          <w:sz w:val="24"/>
          <w:szCs w:val="24"/>
          <w:lang w:val="en-US"/>
        </w:rPr>
        <w:t xml:space="preserve"> </w:t>
      </w:r>
      <w:r w:rsidRPr="006A35F1">
        <w:rPr>
          <w:rFonts w:ascii="Arial" w:hAnsi="Arial" w:cs="Arial"/>
          <w:bCs/>
          <w:color w:val="000000"/>
          <w:sz w:val="24"/>
          <w:szCs w:val="24"/>
          <w:lang w:val="en-US"/>
        </w:rPr>
        <w:t>D</w:t>
      </w:r>
      <w:r w:rsidR="00F855FD" w:rsidRPr="006A35F1">
        <w:rPr>
          <w:rFonts w:ascii="Arial" w:hAnsi="Arial" w:cs="Arial"/>
          <w:bCs/>
          <w:color w:val="000000"/>
          <w:sz w:val="24"/>
          <w:szCs w:val="24"/>
          <w:lang w:val="en-US"/>
        </w:rPr>
        <w:t>iscussion</w:t>
      </w:r>
      <w:r w:rsidRPr="006A35F1">
        <w:rPr>
          <w:rFonts w:ascii="Arial" w:hAnsi="Arial" w:cs="Arial"/>
          <w:bCs/>
          <w:color w:val="000000"/>
          <w:sz w:val="24"/>
          <w:szCs w:val="24"/>
          <w:lang w:val="en-US"/>
        </w:rPr>
        <w:t>: our aim is to explain the utility of intravenous immunotherapy in patients with Hashimoto´s encephalopathy that do not respond to first-line steroid treatment.</w:t>
      </w:r>
    </w:p>
    <w:p w14:paraId="7C99C414" w14:textId="77777777" w:rsidR="00AC22C2" w:rsidRPr="006A35F1" w:rsidRDefault="00AC22C2" w:rsidP="00016FBE">
      <w:pPr>
        <w:pBdr>
          <w:top w:val="nil"/>
          <w:left w:val="nil"/>
          <w:bottom w:val="nil"/>
          <w:right w:val="nil"/>
          <w:between w:val="nil"/>
        </w:pBdr>
        <w:spacing w:after="0" w:line="360" w:lineRule="auto"/>
        <w:jc w:val="both"/>
        <w:rPr>
          <w:rFonts w:ascii="Arial" w:hAnsi="Arial" w:cs="Arial"/>
          <w:sz w:val="24"/>
          <w:szCs w:val="24"/>
          <w:lang w:val="en-US"/>
        </w:rPr>
      </w:pPr>
    </w:p>
    <w:p w14:paraId="5F100BC5" w14:textId="77777777" w:rsidR="002D1AFD" w:rsidRPr="006A35F1" w:rsidRDefault="00016FBE" w:rsidP="00016FBE">
      <w:pPr>
        <w:pBdr>
          <w:top w:val="nil"/>
          <w:left w:val="nil"/>
          <w:bottom w:val="nil"/>
          <w:right w:val="nil"/>
          <w:between w:val="nil"/>
        </w:pBdr>
        <w:spacing w:after="0" w:line="360" w:lineRule="auto"/>
        <w:jc w:val="both"/>
        <w:rPr>
          <w:rFonts w:ascii="Arial" w:hAnsi="Arial" w:cs="Arial"/>
          <w:sz w:val="24"/>
          <w:szCs w:val="24"/>
        </w:rPr>
      </w:pPr>
      <w:r w:rsidRPr="006A35F1">
        <w:rPr>
          <w:rFonts w:ascii="Arial" w:hAnsi="Arial" w:cs="Arial"/>
          <w:b/>
          <w:sz w:val="24"/>
          <w:szCs w:val="24"/>
        </w:rPr>
        <w:t>Palabras clave</w:t>
      </w:r>
      <w:r w:rsidRPr="006A35F1">
        <w:rPr>
          <w:rFonts w:ascii="Arial" w:hAnsi="Arial" w:cs="Arial"/>
          <w:sz w:val="24"/>
          <w:szCs w:val="24"/>
        </w:rPr>
        <w:t>: anticuerpos, encefalopatía, Hashimoto, SREAT, vasculitis</w:t>
      </w:r>
    </w:p>
    <w:p w14:paraId="4C844C2B" w14:textId="77777777" w:rsidR="00A53F5F" w:rsidRPr="006A35F1" w:rsidRDefault="00A53F5F" w:rsidP="00016FBE">
      <w:pPr>
        <w:pBdr>
          <w:top w:val="nil"/>
          <w:left w:val="nil"/>
          <w:bottom w:val="nil"/>
          <w:right w:val="nil"/>
          <w:between w:val="nil"/>
        </w:pBdr>
        <w:spacing w:after="0" w:line="360" w:lineRule="auto"/>
        <w:jc w:val="both"/>
        <w:rPr>
          <w:rFonts w:ascii="Arial" w:hAnsi="Arial" w:cs="Arial"/>
          <w:color w:val="000000"/>
          <w:sz w:val="24"/>
          <w:szCs w:val="24"/>
        </w:rPr>
      </w:pPr>
    </w:p>
    <w:p w14:paraId="09AE10A7" w14:textId="5F8BEA0A" w:rsidR="00E91B0D" w:rsidRPr="006A35F1" w:rsidRDefault="00570B35" w:rsidP="00016FBE">
      <w:pPr>
        <w:pBdr>
          <w:top w:val="nil"/>
          <w:left w:val="nil"/>
          <w:bottom w:val="nil"/>
          <w:right w:val="nil"/>
          <w:between w:val="nil"/>
        </w:pBdr>
        <w:spacing w:after="0" w:line="360" w:lineRule="auto"/>
        <w:jc w:val="both"/>
        <w:rPr>
          <w:rFonts w:ascii="Arial" w:hAnsi="Arial" w:cs="Arial"/>
          <w:b/>
          <w:sz w:val="24"/>
          <w:szCs w:val="24"/>
        </w:rPr>
      </w:pPr>
      <w:r w:rsidRPr="006A35F1">
        <w:rPr>
          <w:rFonts w:ascii="Arial" w:hAnsi="Arial" w:cs="Arial"/>
          <w:b/>
          <w:color w:val="000000"/>
          <w:sz w:val="24"/>
          <w:szCs w:val="24"/>
        </w:rPr>
        <w:t>Introducc</w:t>
      </w:r>
      <w:r w:rsidR="00016FBE" w:rsidRPr="006A35F1">
        <w:rPr>
          <w:rFonts w:ascii="Arial" w:hAnsi="Arial" w:cs="Arial"/>
          <w:b/>
          <w:color w:val="000000"/>
          <w:sz w:val="24"/>
          <w:szCs w:val="24"/>
        </w:rPr>
        <w:t>i</w:t>
      </w:r>
      <w:r w:rsidRPr="006A35F1">
        <w:rPr>
          <w:rFonts w:ascii="Arial" w:hAnsi="Arial" w:cs="Arial"/>
          <w:b/>
          <w:color w:val="000000"/>
          <w:sz w:val="24"/>
          <w:szCs w:val="24"/>
        </w:rPr>
        <w:t>ón</w:t>
      </w:r>
      <w:r w:rsidR="006A35F1">
        <w:rPr>
          <w:rFonts w:ascii="Arial" w:hAnsi="Arial" w:cs="Arial"/>
          <w:b/>
          <w:color w:val="000000"/>
          <w:sz w:val="24"/>
          <w:szCs w:val="24"/>
        </w:rPr>
        <w:t>:</w:t>
      </w:r>
    </w:p>
    <w:p w14:paraId="75C199BA" w14:textId="302E2D5B" w:rsidR="00E91B0D" w:rsidRPr="006A35F1" w:rsidRDefault="00570B35" w:rsidP="00016FBE">
      <w:pPr>
        <w:pBdr>
          <w:top w:val="nil"/>
          <w:left w:val="nil"/>
          <w:bottom w:val="nil"/>
          <w:right w:val="nil"/>
          <w:between w:val="nil"/>
        </w:pBdr>
        <w:spacing w:after="0" w:line="360" w:lineRule="auto"/>
        <w:jc w:val="both"/>
        <w:rPr>
          <w:rFonts w:ascii="Arial" w:hAnsi="Arial" w:cs="Arial"/>
          <w:color w:val="000000"/>
          <w:sz w:val="24"/>
          <w:szCs w:val="24"/>
        </w:rPr>
      </w:pPr>
      <w:r w:rsidRPr="006A35F1">
        <w:rPr>
          <w:rFonts w:ascii="Arial" w:hAnsi="Arial" w:cs="Arial"/>
          <w:color w:val="000000"/>
          <w:sz w:val="24"/>
          <w:szCs w:val="24"/>
        </w:rPr>
        <w:t xml:space="preserve">La </w:t>
      </w:r>
      <w:r w:rsidRPr="006A35F1">
        <w:rPr>
          <w:rFonts w:ascii="Arial" w:hAnsi="Arial" w:cs="Arial"/>
          <w:iCs/>
          <w:color w:val="000000"/>
          <w:sz w:val="24"/>
          <w:szCs w:val="24"/>
        </w:rPr>
        <w:t>encefalopatía de Hashimoto</w:t>
      </w:r>
      <w:r w:rsidRPr="006A35F1">
        <w:rPr>
          <w:rFonts w:ascii="Arial" w:hAnsi="Arial" w:cs="Arial"/>
          <w:color w:val="000000"/>
          <w:sz w:val="24"/>
          <w:szCs w:val="24"/>
        </w:rPr>
        <w:t xml:space="preserve"> (EH) es una entidad poco frecuente con una prevalencia estimada de 2.1/100.000 casos</w:t>
      </w:r>
      <w:r w:rsidR="00D200C1" w:rsidRPr="006A35F1">
        <w:rPr>
          <w:rFonts w:ascii="Arial" w:hAnsi="Arial" w:cs="Arial"/>
          <w:color w:val="000000"/>
          <w:sz w:val="24"/>
          <w:szCs w:val="24"/>
        </w:rPr>
        <w:t>.</w:t>
      </w:r>
      <w:r w:rsidRPr="006A35F1">
        <w:rPr>
          <w:rFonts w:ascii="Arial" w:hAnsi="Arial" w:cs="Arial"/>
          <w:sz w:val="24"/>
          <w:szCs w:val="24"/>
          <w:vertAlign w:val="superscript"/>
        </w:rPr>
        <w:t>1</w:t>
      </w:r>
      <w:r w:rsidRPr="006A35F1">
        <w:rPr>
          <w:rFonts w:ascii="Arial" w:hAnsi="Arial" w:cs="Arial"/>
          <w:sz w:val="24"/>
          <w:szCs w:val="24"/>
        </w:rPr>
        <w:t xml:space="preserve"> La edad media de presentación </w:t>
      </w:r>
      <w:r w:rsidR="003D3BDD" w:rsidRPr="006A35F1">
        <w:rPr>
          <w:rFonts w:ascii="Arial" w:hAnsi="Arial" w:cs="Arial"/>
          <w:bCs/>
          <w:sz w:val="24"/>
          <w:szCs w:val="24"/>
        </w:rPr>
        <w:t>es</w:t>
      </w:r>
      <w:r w:rsidRPr="006A35F1">
        <w:rPr>
          <w:rFonts w:ascii="Arial" w:hAnsi="Arial" w:cs="Arial"/>
          <w:bCs/>
          <w:sz w:val="24"/>
          <w:szCs w:val="24"/>
        </w:rPr>
        <w:t xml:space="preserve"> </w:t>
      </w:r>
      <w:r w:rsidR="003D3BDD" w:rsidRPr="006A35F1">
        <w:rPr>
          <w:rFonts w:ascii="Arial" w:hAnsi="Arial" w:cs="Arial"/>
          <w:bCs/>
          <w:sz w:val="24"/>
          <w:szCs w:val="24"/>
        </w:rPr>
        <w:t>a los</w:t>
      </w:r>
      <w:r w:rsidR="003D3BDD" w:rsidRPr="006A35F1">
        <w:rPr>
          <w:rFonts w:ascii="Arial" w:hAnsi="Arial" w:cs="Arial"/>
          <w:sz w:val="24"/>
          <w:szCs w:val="24"/>
        </w:rPr>
        <w:t xml:space="preserve"> </w:t>
      </w:r>
      <w:r w:rsidRPr="006A35F1">
        <w:rPr>
          <w:rFonts w:ascii="Arial" w:hAnsi="Arial" w:cs="Arial"/>
          <w:sz w:val="24"/>
          <w:szCs w:val="24"/>
        </w:rPr>
        <w:t xml:space="preserve">40 años siendo más frecuente en el sexo femenino, con una relación 4:1 </w:t>
      </w:r>
      <w:r w:rsidRPr="006A35F1">
        <w:rPr>
          <w:rFonts w:ascii="Arial" w:hAnsi="Arial" w:cs="Arial"/>
          <w:sz w:val="24"/>
          <w:szCs w:val="24"/>
          <w:vertAlign w:val="superscript"/>
        </w:rPr>
        <w:t>2</w:t>
      </w:r>
      <w:r w:rsidRPr="006A35F1">
        <w:rPr>
          <w:rFonts w:ascii="Arial" w:hAnsi="Arial" w:cs="Arial"/>
          <w:sz w:val="24"/>
          <w:szCs w:val="24"/>
        </w:rPr>
        <w:t>. Si bien la</w:t>
      </w:r>
      <w:r w:rsidRPr="006A35F1">
        <w:rPr>
          <w:rFonts w:ascii="Arial" w:hAnsi="Arial" w:cs="Arial"/>
          <w:color w:val="000000"/>
          <w:sz w:val="24"/>
          <w:szCs w:val="24"/>
        </w:rPr>
        <w:t xml:space="preserve"> </w:t>
      </w:r>
      <w:r w:rsidRPr="006A35F1">
        <w:rPr>
          <w:rFonts w:ascii="Arial" w:hAnsi="Arial" w:cs="Arial"/>
          <w:color w:val="000000"/>
          <w:sz w:val="24"/>
          <w:szCs w:val="24"/>
        </w:rPr>
        <w:lastRenderedPageBreak/>
        <w:t>etiología</w:t>
      </w:r>
      <w:r w:rsidRPr="006A35F1">
        <w:rPr>
          <w:rFonts w:ascii="Arial" w:hAnsi="Arial" w:cs="Arial"/>
          <w:sz w:val="24"/>
          <w:szCs w:val="24"/>
        </w:rPr>
        <w:t xml:space="preserve"> no es completamente comprendida</w:t>
      </w:r>
      <w:r w:rsidRPr="006A35F1">
        <w:rPr>
          <w:rFonts w:ascii="Arial" w:hAnsi="Arial" w:cs="Arial"/>
          <w:color w:val="000000"/>
          <w:sz w:val="24"/>
          <w:szCs w:val="24"/>
        </w:rPr>
        <w:t xml:space="preserve">, </w:t>
      </w:r>
      <w:r w:rsidRPr="006A35F1">
        <w:rPr>
          <w:rFonts w:ascii="Arial" w:hAnsi="Arial" w:cs="Arial"/>
          <w:sz w:val="24"/>
          <w:szCs w:val="24"/>
        </w:rPr>
        <w:t>se cree que posee una</w:t>
      </w:r>
      <w:r w:rsidRPr="006A35F1">
        <w:rPr>
          <w:rFonts w:ascii="Arial" w:hAnsi="Arial" w:cs="Arial"/>
          <w:color w:val="000000"/>
          <w:sz w:val="24"/>
          <w:szCs w:val="24"/>
        </w:rPr>
        <w:t xml:space="preserve"> causa de origen autoinmune.</w:t>
      </w:r>
      <w:r w:rsidRPr="006A35F1">
        <w:rPr>
          <w:rFonts w:ascii="Arial" w:hAnsi="Arial" w:cs="Arial"/>
          <w:sz w:val="24"/>
          <w:szCs w:val="24"/>
        </w:rPr>
        <w:t xml:space="preserve"> Fu</w:t>
      </w:r>
      <w:r w:rsidRPr="006A35F1">
        <w:rPr>
          <w:rFonts w:ascii="Arial" w:hAnsi="Arial" w:cs="Arial"/>
          <w:color w:val="000000"/>
          <w:sz w:val="24"/>
          <w:szCs w:val="24"/>
        </w:rPr>
        <w:t xml:space="preserve">e </w:t>
      </w:r>
      <w:r w:rsidRPr="006A35F1">
        <w:rPr>
          <w:rFonts w:ascii="Arial" w:hAnsi="Arial" w:cs="Arial"/>
          <w:sz w:val="24"/>
          <w:szCs w:val="24"/>
        </w:rPr>
        <w:t>descripta</w:t>
      </w:r>
      <w:r w:rsidRPr="006A35F1">
        <w:rPr>
          <w:rFonts w:ascii="Arial" w:hAnsi="Arial" w:cs="Arial"/>
          <w:color w:val="000000"/>
          <w:sz w:val="24"/>
          <w:szCs w:val="24"/>
        </w:rPr>
        <w:t xml:space="preserve"> por primera vez en 1966 por Lord Brain et.al </w:t>
      </w:r>
      <w:r w:rsidRPr="006A35F1">
        <w:rPr>
          <w:rFonts w:ascii="Arial" w:hAnsi="Arial" w:cs="Arial"/>
          <w:sz w:val="24"/>
          <w:szCs w:val="24"/>
          <w:vertAlign w:val="superscript"/>
        </w:rPr>
        <w:t>3</w:t>
      </w:r>
      <w:r w:rsidRPr="006A35F1">
        <w:rPr>
          <w:rFonts w:ascii="Arial" w:hAnsi="Arial" w:cs="Arial"/>
          <w:color w:val="000000"/>
          <w:sz w:val="24"/>
          <w:szCs w:val="24"/>
        </w:rPr>
        <w:t xml:space="preserve">, quienes demostraron la aparición de cuadros neurocognitivos en pacientes con </w:t>
      </w:r>
      <w:r w:rsidRPr="006A35F1">
        <w:rPr>
          <w:rFonts w:ascii="Arial" w:hAnsi="Arial" w:cs="Arial"/>
          <w:iCs/>
          <w:color w:val="000000"/>
          <w:sz w:val="24"/>
          <w:szCs w:val="24"/>
        </w:rPr>
        <w:t>tiroiditis de Hashimoto</w:t>
      </w:r>
      <w:r w:rsidR="00A12ADB" w:rsidRPr="006A35F1">
        <w:rPr>
          <w:rFonts w:ascii="Arial" w:hAnsi="Arial" w:cs="Arial"/>
          <w:color w:val="000000"/>
          <w:sz w:val="24"/>
          <w:szCs w:val="24"/>
        </w:rPr>
        <w:t xml:space="preserve">, </w:t>
      </w:r>
      <w:r w:rsidR="002F100B" w:rsidRPr="006A35F1">
        <w:rPr>
          <w:rFonts w:ascii="Arial" w:hAnsi="Arial" w:cs="Arial"/>
          <w:bCs/>
          <w:color w:val="000000"/>
          <w:sz w:val="24"/>
          <w:szCs w:val="24"/>
        </w:rPr>
        <w:t>respondiendo la mayoría</w:t>
      </w:r>
      <w:r w:rsidR="003D3BDD" w:rsidRPr="006A35F1">
        <w:rPr>
          <w:rFonts w:ascii="Arial" w:hAnsi="Arial" w:cs="Arial"/>
          <w:color w:val="000000"/>
          <w:sz w:val="24"/>
          <w:szCs w:val="24"/>
        </w:rPr>
        <w:t xml:space="preserve"> </w:t>
      </w:r>
      <w:r w:rsidRPr="006A35F1">
        <w:rPr>
          <w:rFonts w:ascii="Arial" w:hAnsi="Arial" w:cs="Arial"/>
          <w:color w:val="000000"/>
          <w:sz w:val="24"/>
          <w:szCs w:val="24"/>
        </w:rPr>
        <w:t>adecuadamente a la terapia inmunosupresora con glucocorticoides</w:t>
      </w:r>
      <w:r w:rsidR="00A12ADB" w:rsidRPr="006A35F1">
        <w:rPr>
          <w:rFonts w:ascii="Arial" w:hAnsi="Arial" w:cs="Arial"/>
          <w:color w:val="000000"/>
          <w:sz w:val="24"/>
          <w:szCs w:val="24"/>
        </w:rPr>
        <w:t>.</w:t>
      </w:r>
      <w:r w:rsidRPr="006A35F1">
        <w:rPr>
          <w:rFonts w:ascii="Arial" w:hAnsi="Arial" w:cs="Arial"/>
          <w:color w:val="000000"/>
          <w:sz w:val="24"/>
          <w:szCs w:val="24"/>
        </w:rPr>
        <w:t xml:space="preserve"> </w:t>
      </w:r>
    </w:p>
    <w:p w14:paraId="1F336437" w14:textId="630BDF7E" w:rsidR="00E91B0D" w:rsidRPr="006A35F1" w:rsidRDefault="00570B35" w:rsidP="00016FBE">
      <w:pPr>
        <w:pBdr>
          <w:top w:val="nil"/>
          <w:left w:val="nil"/>
          <w:bottom w:val="nil"/>
          <w:right w:val="nil"/>
          <w:between w:val="nil"/>
        </w:pBdr>
        <w:spacing w:after="0" w:line="360" w:lineRule="auto"/>
        <w:jc w:val="both"/>
        <w:rPr>
          <w:rFonts w:ascii="Arial" w:hAnsi="Arial" w:cs="Arial"/>
          <w:color w:val="000000"/>
          <w:sz w:val="24"/>
          <w:szCs w:val="24"/>
        </w:rPr>
      </w:pPr>
      <w:r w:rsidRPr="006A35F1">
        <w:rPr>
          <w:rFonts w:ascii="Arial" w:hAnsi="Arial" w:cs="Arial"/>
          <w:sz w:val="24"/>
          <w:szCs w:val="24"/>
        </w:rPr>
        <w:t>En el artículo redactado por Kothbauer-Marg</w:t>
      </w:r>
      <w:r w:rsidR="003613C4" w:rsidRPr="006A35F1">
        <w:rPr>
          <w:rFonts w:ascii="Arial" w:hAnsi="Arial" w:cs="Arial"/>
          <w:sz w:val="24"/>
          <w:szCs w:val="24"/>
        </w:rPr>
        <w:t>re</w:t>
      </w:r>
      <w:r w:rsidRPr="006A35F1">
        <w:rPr>
          <w:rFonts w:ascii="Arial" w:hAnsi="Arial" w:cs="Arial"/>
          <w:sz w:val="24"/>
          <w:szCs w:val="24"/>
        </w:rPr>
        <w:t xml:space="preserve">iter et al. de 1996 </w:t>
      </w:r>
      <w:r w:rsidRPr="006A35F1">
        <w:rPr>
          <w:rFonts w:ascii="Arial" w:hAnsi="Arial" w:cs="Arial"/>
          <w:sz w:val="24"/>
          <w:szCs w:val="24"/>
          <w:vertAlign w:val="superscript"/>
        </w:rPr>
        <w:t>2</w:t>
      </w:r>
      <w:r w:rsidRPr="006A35F1">
        <w:rPr>
          <w:rFonts w:ascii="Arial" w:hAnsi="Arial" w:cs="Arial"/>
          <w:color w:val="000000"/>
          <w:sz w:val="24"/>
          <w:szCs w:val="24"/>
        </w:rPr>
        <w:t xml:space="preserve"> </w:t>
      </w:r>
      <w:r w:rsidR="00A53F5F" w:rsidRPr="006A35F1">
        <w:rPr>
          <w:rFonts w:ascii="Arial" w:hAnsi="Arial" w:cs="Arial"/>
          <w:bCs/>
          <w:sz w:val="24"/>
          <w:szCs w:val="24"/>
        </w:rPr>
        <w:t>fueron descriptos</w:t>
      </w:r>
      <w:r w:rsidRPr="006A35F1">
        <w:rPr>
          <w:rFonts w:ascii="Arial" w:hAnsi="Arial" w:cs="Arial"/>
          <w:color w:val="000000"/>
          <w:sz w:val="24"/>
          <w:szCs w:val="24"/>
        </w:rPr>
        <w:t xml:space="preserve"> dos tipos de presentaciones principales: episodios agudos con déficit neurológico focal o cuadros subagudos de desarrollo insidioso</w:t>
      </w:r>
      <w:r w:rsidR="005978BC" w:rsidRPr="006A35F1">
        <w:rPr>
          <w:rFonts w:ascii="Arial" w:hAnsi="Arial" w:cs="Arial"/>
          <w:color w:val="000000"/>
          <w:sz w:val="24"/>
          <w:szCs w:val="24"/>
        </w:rPr>
        <w:t xml:space="preserve"> y progresivo</w:t>
      </w:r>
      <w:r w:rsidRPr="006A35F1">
        <w:rPr>
          <w:rFonts w:ascii="Arial" w:hAnsi="Arial" w:cs="Arial"/>
          <w:color w:val="000000"/>
          <w:sz w:val="24"/>
          <w:szCs w:val="24"/>
        </w:rPr>
        <w:t xml:space="preserve">, que </w:t>
      </w:r>
      <w:r w:rsidRPr="006A35F1">
        <w:rPr>
          <w:rFonts w:ascii="Arial" w:hAnsi="Arial" w:cs="Arial"/>
          <w:bCs/>
          <w:color w:val="000000"/>
          <w:sz w:val="24"/>
          <w:szCs w:val="24"/>
        </w:rPr>
        <w:t>puede</w:t>
      </w:r>
      <w:r w:rsidR="003D3BDD" w:rsidRPr="006A35F1">
        <w:rPr>
          <w:rFonts w:ascii="Arial" w:hAnsi="Arial" w:cs="Arial"/>
          <w:bCs/>
          <w:color w:val="000000"/>
          <w:sz w:val="24"/>
          <w:szCs w:val="24"/>
        </w:rPr>
        <w:t>n</w:t>
      </w:r>
      <w:r w:rsidRPr="006A35F1">
        <w:rPr>
          <w:rFonts w:ascii="Arial" w:hAnsi="Arial" w:cs="Arial"/>
          <w:bCs/>
          <w:color w:val="000000"/>
          <w:sz w:val="24"/>
          <w:szCs w:val="24"/>
        </w:rPr>
        <w:t xml:space="preserve"> </w:t>
      </w:r>
      <w:r w:rsidRPr="006A35F1">
        <w:rPr>
          <w:rFonts w:ascii="Arial" w:hAnsi="Arial" w:cs="Arial"/>
          <w:color w:val="000000"/>
          <w:sz w:val="24"/>
          <w:szCs w:val="24"/>
        </w:rPr>
        <w:t xml:space="preserve">llevar al coma en casos severos. Dentro de los síntomas más frecuentes, se </w:t>
      </w:r>
      <w:r w:rsidR="00A53F5F" w:rsidRPr="006A35F1">
        <w:rPr>
          <w:rFonts w:ascii="Arial" w:hAnsi="Arial" w:cs="Arial"/>
          <w:bCs/>
          <w:color w:val="000000"/>
          <w:sz w:val="24"/>
          <w:szCs w:val="24"/>
        </w:rPr>
        <w:t>encontraban</w:t>
      </w:r>
      <w:r w:rsidRPr="006A35F1">
        <w:rPr>
          <w:rFonts w:ascii="Arial" w:hAnsi="Arial" w:cs="Arial"/>
          <w:color w:val="000000"/>
          <w:sz w:val="24"/>
          <w:szCs w:val="24"/>
        </w:rPr>
        <w:t xml:space="preserve"> la </w:t>
      </w:r>
      <w:r w:rsidRPr="006A35F1">
        <w:rPr>
          <w:rFonts w:ascii="Arial" w:hAnsi="Arial" w:cs="Arial"/>
          <w:sz w:val="24"/>
          <w:szCs w:val="24"/>
        </w:rPr>
        <w:t>demencia</w:t>
      </w:r>
      <w:r w:rsidRPr="006A35F1">
        <w:rPr>
          <w:rFonts w:ascii="Arial" w:hAnsi="Arial" w:cs="Arial"/>
          <w:color w:val="000000"/>
          <w:sz w:val="24"/>
          <w:szCs w:val="24"/>
        </w:rPr>
        <w:t>, mioclonías, convu</w:t>
      </w:r>
      <w:r w:rsidRPr="006A35F1">
        <w:rPr>
          <w:rFonts w:ascii="Arial" w:hAnsi="Arial" w:cs="Arial"/>
          <w:sz w:val="24"/>
          <w:szCs w:val="24"/>
        </w:rPr>
        <w:t>lsiones, alucinaciones y signos focales</w:t>
      </w:r>
      <w:r w:rsidR="003613C4" w:rsidRPr="006A35F1">
        <w:rPr>
          <w:rFonts w:ascii="Arial" w:hAnsi="Arial" w:cs="Arial"/>
          <w:sz w:val="24"/>
          <w:szCs w:val="24"/>
        </w:rPr>
        <w:t>.</w:t>
      </w:r>
      <w:r w:rsidRPr="006A35F1">
        <w:rPr>
          <w:rFonts w:ascii="Arial" w:hAnsi="Arial" w:cs="Arial"/>
          <w:color w:val="000000"/>
          <w:sz w:val="24"/>
          <w:szCs w:val="24"/>
        </w:rPr>
        <w:t xml:space="preserve"> </w:t>
      </w:r>
    </w:p>
    <w:p w14:paraId="11985E56" w14:textId="77777777" w:rsidR="00E91B0D" w:rsidRPr="006A35F1" w:rsidRDefault="00E91B0D" w:rsidP="00016FBE">
      <w:pPr>
        <w:pBdr>
          <w:top w:val="nil"/>
          <w:left w:val="nil"/>
          <w:bottom w:val="nil"/>
          <w:right w:val="nil"/>
          <w:between w:val="nil"/>
        </w:pBdr>
        <w:spacing w:after="0" w:line="360" w:lineRule="auto"/>
        <w:jc w:val="both"/>
        <w:rPr>
          <w:rFonts w:ascii="Arial" w:hAnsi="Arial" w:cs="Arial"/>
          <w:color w:val="000000"/>
          <w:sz w:val="24"/>
          <w:szCs w:val="24"/>
        </w:rPr>
      </w:pPr>
    </w:p>
    <w:p w14:paraId="3B4E64B9" w14:textId="7B44F251" w:rsidR="00E91B0D" w:rsidRPr="006A35F1" w:rsidRDefault="000D2BDA" w:rsidP="00016FBE">
      <w:pPr>
        <w:pBdr>
          <w:top w:val="nil"/>
          <w:left w:val="nil"/>
          <w:bottom w:val="nil"/>
          <w:right w:val="nil"/>
          <w:between w:val="nil"/>
        </w:pBdr>
        <w:spacing w:after="0" w:line="360" w:lineRule="auto"/>
        <w:jc w:val="both"/>
        <w:rPr>
          <w:rFonts w:ascii="Arial" w:hAnsi="Arial" w:cs="Arial"/>
          <w:b/>
          <w:color w:val="000000"/>
          <w:sz w:val="24"/>
          <w:szCs w:val="24"/>
        </w:rPr>
      </w:pPr>
      <w:r w:rsidRPr="006A35F1">
        <w:rPr>
          <w:rFonts w:ascii="Arial" w:hAnsi="Arial" w:cs="Arial"/>
          <w:b/>
          <w:color w:val="000000"/>
          <w:sz w:val="24"/>
          <w:szCs w:val="24"/>
        </w:rPr>
        <w:t>Historia clínica</w:t>
      </w:r>
      <w:r w:rsidR="006A35F1">
        <w:rPr>
          <w:rFonts w:ascii="Arial" w:hAnsi="Arial" w:cs="Arial"/>
          <w:b/>
          <w:color w:val="000000"/>
          <w:sz w:val="24"/>
          <w:szCs w:val="24"/>
        </w:rPr>
        <w:t>:</w:t>
      </w:r>
    </w:p>
    <w:p w14:paraId="497AF342" w14:textId="3A85BD6C" w:rsidR="00E91B0D" w:rsidRPr="006A35F1" w:rsidRDefault="00570B35" w:rsidP="00A53F5F">
      <w:pPr>
        <w:pBdr>
          <w:top w:val="nil"/>
          <w:left w:val="nil"/>
          <w:bottom w:val="nil"/>
          <w:right w:val="nil"/>
          <w:between w:val="nil"/>
        </w:pBdr>
        <w:spacing w:after="0" w:line="360" w:lineRule="auto"/>
        <w:jc w:val="both"/>
        <w:rPr>
          <w:rFonts w:ascii="Arial" w:hAnsi="Arial" w:cs="Arial"/>
          <w:color w:val="000000"/>
          <w:sz w:val="24"/>
          <w:szCs w:val="24"/>
        </w:rPr>
      </w:pPr>
      <w:r w:rsidRPr="006A35F1">
        <w:rPr>
          <w:rFonts w:ascii="Arial" w:hAnsi="Arial" w:cs="Arial"/>
          <w:color w:val="000000"/>
          <w:sz w:val="24"/>
          <w:szCs w:val="24"/>
        </w:rPr>
        <w:t>Paciente masculino de 46 años con antecedente de hipotiroidismo en tratamiento con levotiroxina</w:t>
      </w:r>
      <w:r w:rsidR="00BC6669" w:rsidRPr="006A35F1">
        <w:rPr>
          <w:rFonts w:ascii="Arial" w:hAnsi="Arial" w:cs="Arial"/>
          <w:color w:val="000000"/>
          <w:sz w:val="24"/>
          <w:szCs w:val="24"/>
        </w:rPr>
        <w:t xml:space="preserve"> </w:t>
      </w:r>
      <w:r w:rsidRPr="006A35F1">
        <w:rPr>
          <w:rFonts w:ascii="Arial" w:hAnsi="Arial" w:cs="Arial"/>
          <w:color w:val="000000"/>
          <w:sz w:val="24"/>
          <w:szCs w:val="24"/>
        </w:rPr>
        <w:t xml:space="preserve">fue ingresado por </w:t>
      </w:r>
      <w:r w:rsidR="00BC6669" w:rsidRPr="006A35F1">
        <w:rPr>
          <w:rFonts w:ascii="Arial" w:hAnsi="Arial" w:cs="Arial"/>
          <w:bCs/>
          <w:color w:val="000000"/>
          <w:sz w:val="24"/>
          <w:szCs w:val="24"/>
        </w:rPr>
        <w:t>haber presentado</w:t>
      </w:r>
      <w:r w:rsidR="00BC6669" w:rsidRPr="006A35F1">
        <w:rPr>
          <w:rFonts w:ascii="Arial" w:hAnsi="Arial" w:cs="Arial"/>
          <w:color w:val="000000"/>
          <w:sz w:val="24"/>
          <w:szCs w:val="24"/>
        </w:rPr>
        <w:t xml:space="preserve"> </w:t>
      </w:r>
      <w:r w:rsidRPr="006A35F1">
        <w:rPr>
          <w:rFonts w:ascii="Arial" w:hAnsi="Arial" w:cs="Arial"/>
          <w:color w:val="000000"/>
          <w:sz w:val="24"/>
          <w:szCs w:val="24"/>
        </w:rPr>
        <w:t xml:space="preserve">un cuadro de 24 horas de evolución caracterizado por excitación psicomotriz, trastorno del lenguaje y convulsiones tónico-clónico generalizadas. Al examen neurológico, se encontraba vigil desorientado alopsíquicamente, con ideación delirante de tipo paranoide. </w:t>
      </w:r>
      <w:r w:rsidRPr="006A35F1">
        <w:rPr>
          <w:rFonts w:ascii="Arial" w:hAnsi="Arial" w:cs="Arial"/>
          <w:bCs/>
          <w:color w:val="000000"/>
          <w:sz w:val="24"/>
          <w:szCs w:val="24"/>
        </w:rPr>
        <w:t>No present</w:t>
      </w:r>
      <w:r w:rsidR="00BC6669" w:rsidRPr="006A35F1">
        <w:rPr>
          <w:rFonts w:ascii="Arial" w:hAnsi="Arial" w:cs="Arial"/>
          <w:bCs/>
          <w:color w:val="000000"/>
          <w:sz w:val="24"/>
          <w:szCs w:val="24"/>
        </w:rPr>
        <w:t>aba</w:t>
      </w:r>
      <w:r w:rsidRPr="006A35F1">
        <w:rPr>
          <w:rFonts w:ascii="Arial" w:hAnsi="Arial" w:cs="Arial"/>
          <w:bCs/>
          <w:color w:val="000000"/>
          <w:sz w:val="24"/>
          <w:szCs w:val="24"/>
        </w:rPr>
        <w:t xml:space="preserve"> déficit de foco neurológico</w:t>
      </w:r>
      <w:r w:rsidR="00BC6669" w:rsidRPr="006A35F1">
        <w:rPr>
          <w:rFonts w:ascii="Arial" w:hAnsi="Arial" w:cs="Arial"/>
          <w:bCs/>
          <w:color w:val="000000"/>
          <w:sz w:val="24"/>
          <w:szCs w:val="24"/>
        </w:rPr>
        <w:t>,</w:t>
      </w:r>
      <w:r w:rsidR="000D2BDA" w:rsidRPr="006A35F1">
        <w:rPr>
          <w:rFonts w:ascii="Arial" w:hAnsi="Arial" w:cs="Arial"/>
          <w:color w:val="000000"/>
          <w:sz w:val="24"/>
          <w:szCs w:val="24"/>
        </w:rPr>
        <w:t xml:space="preserve"> signos de irritación meníngea ni signos cerebelosos, con reflejos osteotendinosos conservados.</w:t>
      </w:r>
      <w:r w:rsidRPr="006A35F1">
        <w:rPr>
          <w:rFonts w:ascii="Arial" w:hAnsi="Arial" w:cs="Arial"/>
          <w:color w:val="000000"/>
          <w:sz w:val="24"/>
          <w:szCs w:val="24"/>
        </w:rPr>
        <w:t xml:space="preserve"> </w:t>
      </w:r>
      <w:r w:rsidR="000D2BDA" w:rsidRPr="006A35F1">
        <w:rPr>
          <w:rFonts w:ascii="Arial" w:hAnsi="Arial" w:cs="Arial"/>
          <w:color w:val="000000"/>
          <w:sz w:val="24"/>
          <w:szCs w:val="24"/>
        </w:rPr>
        <w:t xml:space="preserve">El paciente evolucionó con estatus epiléptico con rápido deterioro del sensorio y coma, con necesidad de intubación orotraqueal y asistencia respiratoria mecánica. </w:t>
      </w:r>
    </w:p>
    <w:p w14:paraId="4097A7C0" w14:textId="77777777" w:rsidR="00A53F5F" w:rsidRPr="006A35F1" w:rsidRDefault="00A53F5F" w:rsidP="00016FBE">
      <w:pPr>
        <w:pBdr>
          <w:top w:val="nil"/>
          <w:left w:val="nil"/>
          <w:bottom w:val="nil"/>
          <w:right w:val="nil"/>
          <w:between w:val="nil"/>
        </w:pBdr>
        <w:spacing w:after="0" w:line="360" w:lineRule="auto"/>
        <w:jc w:val="both"/>
        <w:rPr>
          <w:rFonts w:ascii="Arial" w:hAnsi="Arial" w:cs="Arial"/>
          <w:color w:val="000000"/>
          <w:sz w:val="24"/>
          <w:szCs w:val="24"/>
        </w:rPr>
      </w:pPr>
    </w:p>
    <w:p w14:paraId="5452DDCB" w14:textId="41551EB0" w:rsidR="000D2BDA" w:rsidRPr="006A35F1" w:rsidRDefault="000D2BDA" w:rsidP="00016FBE">
      <w:pPr>
        <w:pBdr>
          <w:top w:val="nil"/>
          <w:left w:val="nil"/>
          <w:bottom w:val="nil"/>
          <w:right w:val="nil"/>
          <w:between w:val="nil"/>
        </w:pBdr>
        <w:spacing w:after="0" w:line="360" w:lineRule="auto"/>
        <w:jc w:val="both"/>
        <w:rPr>
          <w:rFonts w:ascii="Arial" w:hAnsi="Arial" w:cs="Arial"/>
          <w:b/>
          <w:bCs/>
          <w:color w:val="000000"/>
          <w:sz w:val="24"/>
          <w:szCs w:val="24"/>
        </w:rPr>
      </w:pPr>
      <w:r w:rsidRPr="006A35F1">
        <w:rPr>
          <w:rFonts w:ascii="Arial" w:hAnsi="Arial" w:cs="Arial"/>
          <w:b/>
          <w:bCs/>
          <w:color w:val="000000"/>
          <w:sz w:val="24"/>
          <w:szCs w:val="24"/>
        </w:rPr>
        <w:t>Pruebas complementarias</w:t>
      </w:r>
      <w:r w:rsidR="006A35F1">
        <w:rPr>
          <w:rFonts w:ascii="Arial" w:hAnsi="Arial" w:cs="Arial"/>
          <w:b/>
          <w:bCs/>
          <w:color w:val="000000"/>
          <w:sz w:val="24"/>
          <w:szCs w:val="24"/>
        </w:rPr>
        <w:t>:</w:t>
      </w:r>
      <w:r w:rsidR="00570B35" w:rsidRPr="006A35F1">
        <w:rPr>
          <w:rFonts w:ascii="Arial" w:hAnsi="Arial" w:cs="Arial"/>
          <w:b/>
          <w:bCs/>
          <w:color w:val="000000"/>
          <w:sz w:val="24"/>
          <w:szCs w:val="24"/>
        </w:rPr>
        <w:tab/>
      </w:r>
    </w:p>
    <w:p w14:paraId="0CD313F4" w14:textId="3B8D3A47" w:rsidR="00E91B0D" w:rsidRPr="006A35F1" w:rsidRDefault="00570B35" w:rsidP="00A53F5F">
      <w:pPr>
        <w:pBdr>
          <w:top w:val="nil"/>
          <w:left w:val="nil"/>
          <w:bottom w:val="nil"/>
          <w:right w:val="nil"/>
          <w:between w:val="nil"/>
        </w:pBdr>
        <w:spacing w:after="0" w:line="360" w:lineRule="auto"/>
        <w:jc w:val="both"/>
        <w:rPr>
          <w:rFonts w:ascii="Arial" w:hAnsi="Arial" w:cs="Arial"/>
          <w:color w:val="000000"/>
          <w:sz w:val="24"/>
          <w:szCs w:val="24"/>
        </w:rPr>
      </w:pPr>
      <w:r w:rsidRPr="006A35F1">
        <w:rPr>
          <w:rFonts w:ascii="Arial" w:hAnsi="Arial" w:cs="Arial"/>
          <w:color w:val="000000"/>
          <w:sz w:val="24"/>
          <w:szCs w:val="24"/>
        </w:rPr>
        <w:t xml:space="preserve">En la rutina de laboratorio se evidenció una anemia normocítica normocrómica </w:t>
      </w:r>
      <w:r w:rsidR="000D2BDA" w:rsidRPr="006A35F1">
        <w:rPr>
          <w:rFonts w:ascii="Arial" w:hAnsi="Arial" w:cs="Arial"/>
          <w:color w:val="000000"/>
          <w:sz w:val="24"/>
          <w:szCs w:val="24"/>
        </w:rPr>
        <w:t>con</w:t>
      </w:r>
      <w:r w:rsidRPr="006A35F1">
        <w:rPr>
          <w:rFonts w:ascii="Arial" w:hAnsi="Arial" w:cs="Arial"/>
          <w:color w:val="000000"/>
          <w:sz w:val="24"/>
          <w:szCs w:val="24"/>
        </w:rPr>
        <w:t xml:space="preserve"> un</w:t>
      </w:r>
      <w:r w:rsidR="005978BC" w:rsidRPr="006A35F1">
        <w:rPr>
          <w:rFonts w:ascii="Arial" w:hAnsi="Arial" w:cs="Arial"/>
          <w:color w:val="000000"/>
          <w:sz w:val="24"/>
          <w:szCs w:val="24"/>
        </w:rPr>
        <w:t>a prueba</w:t>
      </w:r>
      <w:r w:rsidRPr="006A35F1">
        <w:rPr>
          <w:rFonts w:ascii="Arial" w:hAnsi="Arial" w:cs="Arial"/>
          <w:color w:val="000000"/>
          <w:sz w:val="24"/>
          <w:szCs w:val="24"/>
        </w:rPr>
        <w:t xml:space="preserve"> rápid</w:t>
      </w:r>
      <w:r w:rsidR="005978BC" w:rsidRPr="006A35F1">
        <w:rPr>
          <w:rFonts w:ascii="Arial" w:hAnsi="Arial" w:cs="Arial"/>
          <w:color w:val="000000"/>
          <w:sz w:val="24"/>
          <w:szCs w:val="24"/>
        </w:rPr>
        <w:t>a</w:t>
      </w:r>
      <w:r w:rsidRPr="006A35F1">
        <w:rPr>
          <w:rFonts w:ascii="Arial" w:hAnsi="Arial" w:cs="Arial"/>
          <w:color w:val="000000"/>
          <w:sz w:val="24"/>
          <w:szCs w:val="24"/>
        </w:rPr>
        <w:t xml:space="preserve"> </w:t>
      </w:r>
      <w:r w:rsidRPr="006A35F1">
        <w:rPr>
          <w:rFonts w:ascii="Arial" w:hAnsi="Arial" w:cs="Arial"/>
          <w:sz w:val="24"/>
          <w:szCs w:val="24"/>
        </w:rPr>
        <w:t>para el</w:t>
      </w:r>
      <w:r w:rsidRPr="006A35F1">
        <w:rPr>
          <w:rFonts w:ascii="Arial" w:hAnsi="Arial" w:cs="Arial"/>
          <w:color w:val="000000"/>
          <w:sz w:val="24"/>
          <w:szCs w:val="24"/>
        </w:rPr>
        <w:t xml:space="preserve"> vi</w:t>
      </w:r>
      <w:r w:rsidRPr="006A35F1">
        <w:rPr>
          <w:rFonts w:ascii="Arial" w:hAnsi="Arial" w:cs="Arial"/>
          <w:sz w:val="24"/>
          <w:szCs w:val="24"/>
        </w:rPr>
        <w:t>rus de inmunodeficiencia humana</w:t>
      </w:r>
      <w:r w:rsidRPr="006A35F1">
        <w:rPr>
          <w:rFonts w:ascii="Arial" w:hAnsi="Arial" w:cs="Arial"/>
          <w:color w:val="000000"/>
          <w:sz w:val="24"/>
          <w:szCs w:val="24"/>
        </w:rPr>
        <w:t xml:space="preserve"> (</w:t>
      </w:r>
      <w:r w:rsidRPr="006A35F1">
        <w:rPr>
          <w:rFonts w:ascii="Arial" w:hAnsi="Arial" w:cs="Arial"/>
          <w:sz w:val="24"/>
          <w:szCs w:val="24"/>
        </w:rPr>
        <w:t>VIH</w:t>
      </w:r>
      <w:r w:rsidRPr="006A35F1">
        <w:rPr>
          <w:rFonts w:ascii="Arial" w:hAnsi="Arial" w:cs="Arial"/>
          <w:color w:val="000000"/>
          <w:sz w:val="24"/>
          <w:szCs w:val="24"/>
        </w:rPr>
        <w:t>) negativ</w:t>
      </w:r>
      <w:r w:rsidR="005978BC" w:rsidRPr="006A35F1">
        <w:rPr>
          <w:rFonts w:ascii="Arial" w:hAnsi="Arial" w:cs="Arial"/>
          <w:color w:val="000000"/>
          <w:sz w:val="24"/>
          <w:szCs w:val="24"/>
        </w:rPr>
        <w:t>a</w:t>
      </w:r>
      <w:r w:rsidRPr="006A35F1">
        <w:rPr>
          <w:rFonts w:ascii="Arial" w:hAnsi="Arial" w:cs="Arial"/>
          <w:color w:val="000000"/>
          <w:sz w:val="24"/>
          <w:szCs w:val="24"/>
        </w:rPr>
        <w:t xml:space="preserve">. El resto </w:t>
      </w:r>
      <w:r w:rsidR="00807B2B" w:rsidRPr="006A35F1">
        <w:rPr>
          <w:rFonts w:ascii="Arial" w:hAnsi="Arial" w:cs="Arial"/>
          <w:color w:val="000000"/>
          <w:sz w:val="24"/>
          <w:szCs w:val="24"/>
        </w:rPr>
        <w:t>del</w:t>
      </w:r>
      <w:r w:rsidRPr="006A35F1">
        <w:rPr>
          <w:rFonts w:ascii="Arial" w:hAnsi="Arial" w:cs="Arial"/>
          <w:color w:val="000000"/>
          <w:sz w:val="24"/>
          <w:szCs w:val="24"/>
        </w:rPr>
        <w:t xml:space="preserve"> laboratorio se hallaba dentro de parámetros normales.  </w:t>
      </w:r>
      <w:r w:rsidRPr="006A35F1">
        <w:rPr>
          <w:rFonts w:ascii="Arial" w:hAnsi="Arial" w:cs="Arial"/>
          <w:bCs/>
          <w:color w:val="000000"/>
          <w:sz w:val="24"/>
          <w:szCs w:val="24"/>
        </w:rPr>
        <w:t>La tomografía cerebral (TC)</w:t>
      </w:r>
      <w:r w:rsidRPr="006A35F1">
        <w:rPr>
          <w:rFonts w:ascii="Arial" w:hAnsi="Arial" w:cs="Arial"/>
          <w:color w:val="000000"/>
          <w:sz w:val="24"/>
          <w:szCs w:val="24"/>
        </w:rPr>
        <w:t xml:space="preserve"> no evidenciaba signos de isquemia</w:t>
      </w:r>
      <w:r w:rsidR="0064068E" w:rsidRPr="006A35F1">
        <w:rPr>
          <w:rFonts w:ascii="Arial" w:hAnsi="Arial" w:cs="Arial"/>
          <w:color w:val="000000"/>
          <w:sz w:val="24"/>
          <w:szCs w:val="24"/>
        </w:rPr>
        <w:t xml:space="preserve">, </w:t>
      </w:r>
      <w:r w:rsidRPr="006A35F1">
        <w:rPr>
          <w:rFonts w:ascii="Arial" w:hAnsi="Arial" w:cs="Arial"/>
          <w:color w:val="000000"/>
          <w:sz w:val="24"/>
          <w:szCs w:val="24"/>
        </w:rPr>
        <w:t>sangrado</w:t>
      </w:r>
      <w:r w:rsidR="005978BC" w:rsidRPr="006A35F1">
        <w:rPr>
          <w:rFonts w:ascii="Arial" w:hAnsi="Arial" w:cs="Arial"/>
          <w:color w:val="000000"/>
          <w:sz w:val="24"/>
          <w:szCs w:val="24"/>
        </w:rPr>
        <w:t xml:space="preserve"> o</w:t>
      </w:r>
      <w:r w:rsidRPr="006A35F1">
        <w:rPr>
          <w:rFonts w:ascii="Arial" w:hAnsi="Arial" w:cs="Arial"/>
          <w:color w:val="000000"/>
          <w:sz w:val="24"/>
          <w:szCs w:val="24"/>
        </w:rPr>
        <w:t xml:space="preserve"> lesiones ocupantes de espacio</w:t>
      </w:r>
      <w:r w:rsidR="0064068E" w:rsidRPr="006A35F1">
        <w:rPr>
          <w:rFonts w:ascii="Arial" w:hAnsi="Arial" w:cs="Arial"/>
          <w:color w:val="000000"/>
          <w:sz w:val="24"/>
          <w:szCs w:val="24"/>
        </w:rPr>
        <w:t>.</w:t>
      </w:r>
      <w:r w:rsidR="00124ED0" w:rsidRPr="006A35F1">
        <w:rPr>
          <w:rFonts w:ascii="Arial" w:hAnsi="Arial" w:cs="Arial"/>
          <w:color w:val="000000"/>
          <w:sz w:val="24"/>
          <w:szCs w:val="24"/>
        </w:rPr>
        <w:t xml:space="preserve"> </w:t>
      </w:r>
      <w:r w:rsidR="00124ED0" w:rsidRPr="006A35F1">
        <w:rPr>
          <w:rFonts w:ascii="Arial" w:hAnsi="Arial" w:cs="Arial"/>
          <w:bCs/>
          <w:color w:val="000000"/>
          <w:sz w:val="24"/>
          <w:szCs w:val="24"/>
        </w:rPr>
        <w:t>(Figura 1)</w:t>
      </w:r>
      <w:r w:rsidRPr="006A35F1">
        <w:rPr>
          <w:rFonts w:ascii="Arial" w:hAnsi="Arial" w:cs="Arial"/>
          <w:color w:val="000000"/>
          <w:sz w:val="24"/>
          <w:szCs w:val="24"/>
        </w:rPr>
        <w:t xml:space="preserve"> Las serologías para </w:t>
      </w:r>
      <w:r w:rsidRPr="006A35F1">
        <w:rPr>
          <w:rFonts w:ascii="Arial" w:hAnsi="Arial" w:cs="Arial"/>
          <w:sz w:val="24"/>
          <w:szCs w:val="24"/>
        </w:rPr>
        <w:t>VIH</w:t>
      </w:r>
      <w:r w:rsidRPr="006A35F1">
        <w:rPr>
          <w:rFonts w:ascii="Arial" w:hAnsi="Arial" w:cs="Arial"/>
          <w:color w:val="000000"/>
          <w:sz w:val="24"/>
          <w:szCs w:val="24"/>
        </w:rPr>
        <w:t xml:space="preserve">, </w:t>
      </w:r>
      <w:r w:rsidR="000D2BDA" w:rsidRPr="006A35F1">
        <w:rPr>
          <w:rFonts w:ascii="Arial" w:hAnsi="Arial" w:cs="Arial"/>
          <w:sz w:val="24"/>
          <w:szCs w:val="24"/>
        </w:rPr>
        <w:t>hepatitis virales</w:t>
      </w:r>
      <w:r w:rsidRPr="006A35F1">
        <w:rPr>
          <w:rFonts w:ascii="Arial" w:hAnsi="Arial" w:cs="Arial"/>
          <w:color w:val="000000"/>
          <w:sz w:val="24"/>
          <w:szCs w:val="24"/>
        </w:rPr>
        <w:t xml:space="preserve"> y VDRL fueron negativas. La punción lumbar (PL) reveló un </w:t>
      </w:r>
      <w:r w:rsidR="000D2BDA" w:rsidRPr="006A35F1">
        <w:rPr>
          <w:rFonts w:ascii="Arial" w:hAnsi="Arial" w:cs="Arial"/>
          <w:sz w:val="24"/>
          <w:szCs w:val="24"/>
        </w:rPr>
        <w:t>líquido cefalorraquídeo (LCR)</w:t>
      </w:r>
      <w:r w:rsidRPr="006A35F1">
        <w:rPr>
          <w:rFonts w:ascii="Arial" w:hAnsi="Arial" w:cs="Arial"/>
          <w:color w:val="000000"/>
          <w:sz w:val="24"/>
          <w:szCs w:val="24"/>
        </w:rPr>
        <w:t xml:space="preserve"> con proteínas elevadas 110 mg/dL</w:t>
      </w:r>
      <w:r w:rsidR="007B6C11" w:rsidRPr="006A35F1">
        <w:rPr>
          <w:rFonts w:ascii="Arial" w:hAnsi="Arial" w:cs="Arial"/>
          <w:color w:val="000000"/>
          <w:sz w:val="24"/>
          <w:szCs w:val="24"/>
        </w:rPr>
        <w:t xml:space="preserve"> (10-50 mg/dL)</w:t>
      </w:r>
      <w:r w:rsidRPr="006A35F1">
        <w:rPr>
          <w:rFonts w:ascii="Arial" w:hAnsi="Arial" w:cs="Arial"/>
          <w:color w:val="000000"/>
          <w:sz w:val="24"/>
          <w:szCs w:val="24"/>
        </w:rPr>
        <w:t>, 1 leucocito/mm³</w:t>
      </w:r>
      <w:r w:rsidR="007B6C11" w:rsidRPr="006A35F1">
        <w:rPr>
          <w:rFonts w:ascii="Arial" w:hAnsi="Arial" w:cs="Arial"/>
          <w:color w:val="000000"/>
          <w:sz w:val="24"/>
          <w:szCs w:val="24"/>
        </w:rPr>
        <w:t xml:space="preserve"> (0-5 leucocitos/mm³)</w:t>
      </w:r>
      <w:r w:rsidRPr="006A35F1">
        <w:rPr>
          <w:rFonts w:ascii="Arial" w:hAnsi="Arial" w:cs="Arial"/>
          <w:color w:val="000000"/>
          <w:sz w:val="24"/>
          <w:szCs w:val="24"/>
        </w:rPr>
        <w:t xml:space="preserve"> con muestras para cultivo de gérmenes comunes, neurovirus y anticuerpos anti-neuronales paraneoplásicos.</w:t>
      </w:r>
    </w:p>
    <w:p w14:paraId="0FAED5CC" w14:textId="30308E01" w:rsidR="000D2BDA" w:rsidRPr="006A35F1" w:rsidRDefault="000D2BDA" w:rsidP="00A53F5F">
      <w:pPr>
        <w:pBdr>
          <w:top w:val="nil"/>
          <w:left w:val="nil"/>
          <w:bottom w:val="nil"/>
          <w:right w:val="nil"/>
          <w:between w:val="nil"/>
        </w:pBdr>
        <w:spacing w:after="0" w:line="360" w:lineRule="auto"/>
        <w:jc w:val="both"/>
        <w:rPr>
          <w:rFonts w:ascii="Arial" w:hAnsi="Arial" w:cs="Arial"/>
          <w:color w:val="000000"/>
          <w:sz w:val="24"/>
          <w:szCs w:val="24"/>
        </w:rPr>
      </w:pPr>
      <w:r w:rsidRPr="006A35F1">
        <w:rPr>
          <w:rFonts w:ascii="Arial" w:hAnsi="Arial" w:cs="Arial"/>
          <w:color w:val="000000"/>
          <w:sz w:val="24"/>
          <w:szCs w:val="24"/>
        </w:rPr>
        <w:t>El perfil tiroideo sérico arrojó triyodotironina 59 ng/dL</w:t>
      </w:r>
      <w:r w:rsidR="007B6C11" w:rsidRPr="006A35F1">
        <w:rPr>
          <w:rFonts w:ascii="Arial" w:hAnsi="Arial" w:cs="Arial"/>
          <w:color w:val="000000"/>
          <w:sz w:val="24"/>
          <w:szCs w:val="24"/>
        </w:rPr>
        <w:t xml:space="preserve"> (</w:t>
      </w:r>
      <w:r w:rsidR="00A94CAD" w:rsidRPr="006A35F1">
        <w:rPr>
          <w:rFonts w:ascii="Arial" w:hAnsi="Arial" w:cs="Arial"/>
          <w:color w:val="000000"/>
          <w:sz w:val="24"/>
          <w:szCs w:val="24"/>
        </w:rPr>
        <w:t>62-180 ng/dL)</w:t>
      </w:r>
      <w:r w:rsidRPr="006A35F1">
        <w:rPr>
          <w:rFonts w:ascii="Arial" w:hAnsi="Arial" w:cs="Arial"/>
          <w:color w:val="000000"/>
          <w:sz w:val="24"/>
          <w:szCs w:val="24"/>
        </w:rPr>
        <w:t>, tiroxina libre 0.82 ng/dL</w:t>
      </w:r>
      <w:r w:rsidR="00A94CAD" w:rsidRPr="006A35F1">
        <w:rPr>
          <w:rFonts w:ascii="Arial" w:hAnsi="Arial" w:cs="Arial"/>
          <w:color w:val="000000"/>
          <w:sz w:val="24"/>
          <w:szCs w:val="24"/>
        </w:rPr>
        <w:t xml:space="preserve"> (1-1.8 ng/dL)</w:t>
      </w:r>
      <w:r w:rsidRPr="006A35F1">
        <w:rPr>
          <w:rFonts w:ascii="Arial" w:hAnsi="Arial" w:cs="Arial"/>
          <w:color w:val="000000"/>
          <w:sz w:val="24"/>
          <w:szCs w:val="24"/>
        </w:rPr>
        <w:t>, tirotrofina 7.35 mcg/ml</w:t>
      </w:r>
      <w:r w:rsidR="00A94CAD" w:rsidRPr="006A35F1">
        <w:rPr>
          <w:rFonts w:ascii="Arial" w:hAnsi="Arial" w:cs="Arial"/>
          <w:color w:val="000000"/>
          <w:sz w:val="24"/>
          <w:szCs w:val="24"/>
        </w:rPr>
        <w:t xml:space="preserve"> (0.35-4.5 mcg/ml)</w:t>
      </w:r>
      <w:r w:rsidRPr="006A35F1">
        <w:rPr>
          <w:rFonts w:ascii="Arial" w:hAnsi="Arial" w:cs="Arial"/>
          <w:color w:val="000000"/>
          <w:sz w:val="24"/>
          <w:szCs w:val="24"/>
        </w:rPr>
        <w:t>,</w:t>
      </w:r>
      <w:r w:rsidR="005978BC" w:rsidRPr="006A35F1">
        <w:rPr>
          <w:rFonts w:ascii="Arial" w:hAnsi="Arial" w:cs="Arial"/>
          <w:color w:val="000000"/>
          <w:sz w:val="24"/>
          <w:szCs w:val="24"/>
        </w:rPr>
        <w:t xml:space="preserve"> anticuerpo anti-</w:t>
      </w:r>
      <w:r w:rsidR="005978BC" w:rsidRPr="006A35F1">
        <w:rPr>
          <w:rFonts w:ascii="Arial" w:hAnsi="Arial" w:cs="Arial"/>
          <w:color w:val="000000"/>
          <w:sz w:val="24"/>
          <w:szCs w:val="24"/>
        </w:rPr>
        <w:lastRenderedPageBreak/>
        <w:t>tiroperoxidasa</w:t>
      </w:r>
      <w:r w:rsidRPr="006A35F1">
        <w:rPr>
          <w:rFonts w:ascii="Arial" w:hAnsi="Arial" w:cs="Arial"/>
          <w:color w:val="000000"/>
          <w:sz w:val="24"/>
          <w:szCs w:val="24"/>
        </w:rPr>
        <w:t xml:space="preserve"> </w:t>
      </w:r>
      <w:r w:rsidR="005978BC" w:rsidRPr="006A35F1">
        <w:rPr>
          <w:rFonts w:ascii="Arial" w:hAnsi="Arial" w:cs="Arial"/>
          <w:color w:val="000000"/>
          <w:sz w:val="24"/>
          <w:szCs w:val="24"/>
        </w:rPr>
        <w:t>(</w:t>
      </w:r>
      <w:r w:rsidRPr="006A35F1">
        <w:rPr>
          <w:rFonts w:ascii="Arial" w:hAnsi="Arial" w:cs="Arial"/>
          <w:color w:val="000000"/>
          <w:sz w:val="24"/>
          <w:szCs w:val="24"/>
        </w:rPr>
        <w:t>aTPO</w:t>
      </w:r>
      <w:r w:rsidR="005978BC" w:rsidRPr="006A35F1">
        <w:rPr>
          <w:rFonts w:ascii="Arial" w:hAnsi="Arial" w:cs="Arial"/>
          <w:color w:val="000000"/>
          <w:sz w:val="24"/>
          <w:szCs w:val="24"/>
        </w:rPr>
        <w:t>)</w:t>
      </w:r>
      <w:r w:rsidRPr="006A35F1">
        <w:rPr>
          <w:rFonts w:ascii="Arial" w:hAnsi="Arial" w:cs="Arial"/>
          <w:color w:val="000000"/>
          <w:sz w:val="24"/>
          <w:szCs w:val="24"/>
        </w:rPr>
        <w:t xml:space="preserve"> 249.8 U/ml</w:t>
      </w:r>
      <w:r w:rsidR="00A94CAD" w:rsidRPr="006A35F1">
        <w:rPr>
          <w:rFonts w:ascii="Arial" w:hAnsi="Arial" w:cs="Arial"/>
          <w:color w:val="000000"/>
          <w:sz w:val="24"/>
          <w:szCs w:val="24"/>
        </w:rPr>
        <w:t xml:space="preserve"> (35-50 U/ml)</w:t>
      </w:r>
      <w:r w:rsidRPr="006A35F1">
        <w:rPr>
          <w:rFonts w:ascii="Arial" w:hAnsi="Arial" w:cs="Arial"/>
          <w:color w:val="000000"/>
          <w:sz w:val="24"/>
          <w:szCs w:val="24"/>
        </w:rPr>
        <w:t xml:space="preserve">, </w:t>
      </w:r>
      <w:r w:rsidR="005978BC" w:rsidRPr="006A35F1">
        <w:rPr>
          <w:rFonts w:ascii="Arial" w:hAnsi="Arial" w:cs="Arial"/>
          <w:color w:val="000000"/>
          <w:sz w:val="24"/>
          <w:szCs w:val="24"/>
        </w:rPr>
        <w:t>anticuerpo anti-tiroglobulina (</w:t>
      </w:r>
      <w:r w:rsidRPr="006A35F1">
        <w:rPr>
          <w:rFonts w:ascii="Arial" w:hAnsi="Arial" w:cs="Arial"/>
          <w:color w:val="000000"/>
          <w:sz w:val="24"/>
          <w:szCs w:val="24"/>
        </w:rPr>
        <w:t>aTG</w:t>
      </w:r>
      <w:r w:rsidR="005978BC" w:rsidRPr="006A35F1">
        <w:rPr>
          <w:rFonts w:ascii="Arial" w:hAnsi="Arial" w:cs="Arial"/>
          <w:color w:val="000000"/>
          <w:sz w:val="24"/>
          <w:szCs w:val="24"/>
        </w:rPr>
        <w:t>)</w:t>
      </w:r>
      <w:r w:rsidRPr="006A35F1">
        <w:rPr>
          <w:rFonts w:ascii="Arial" w:hAnsi="Arial" w:cs="Arial"/>
          <w:color w:val="000000"/>
          <w:sz w:val="24"/>
          <w:szCs w:val="24"/>
        </w:rPr>
        <w:t xml:space="preserve"> 1998 U/ml</w:t>
      </w:r>
      <w:r w:rsidR="00A94CAD" w:rsidRPr="006A35F1">
        <w:rPr>
          <w:rFonts w:ascii="Arial" w:hAnsi="Arial" w:cs="Arial"/>
          <w:color w:val="000000"/>
          <w:sz w:val="24"/>
          <w:szCs w:val="24"/>
        </w:rPr>
        <w:t xml:space="preserve"> (35-50 U/ml)</w:t>
      </w:r>
      <w:r w:rsidR="0064068E" w:rsidRPr="006A35F1">
        <w:rPr>
          <w:rFonts w:ascii="Arial" w:hAnsi="Arial" w:cs="Arial"/>
          <w:color w:val="000000"/>
          <w:sz w:val="24"/>
          <w:szCs w:val="24"/>
        </w:rPr>
        <w:t xml:space="preserve"> y</w:t>
      </w:r>
      <w:r w:rsidRPr="006A35F1">
        <w:rPr>
          <w:rFonts w:ascii="Arial" w:hAnsi="Arial" w:cs="Arial"/>
          <w:color w:val="000000"/>
          <w:sz w:val="24"/>
          <w:szCs w:val="24"/>
        </w:rPr>
        <w:t xml:space="preserve"> tiroglobulina (TG) 258.6 ng/ml</w:t>
      </w:r>
      <w:r w:rsidR="00A94CAD" w:rsidRPr="006A35F1">
        <w:rPr>
          <w:rFonts w:ascii="Arial" w:hAnsi="Arial" w:cs="Arial"/>
          <w:color w:val="000000"/>
          <w:sz w:val="24"/>
          <w:szCs w:val="24"/>
        </w:rPr>
        <w:t xml:space="preserve"> (3-42 ng/ml)</w:t>
      </w:r>
      <w:r w:rsidR="0064068E" w:rsidRPr="006A35F1">
        <w:rPr>
          <w:rFonts w:ascii="Arial" w:hAnsi="Arial" w:cs="Arial"/>
          <w:color w:val="000000"/>
          <w:sz w:val="24"/>
          <w:szCs w:val="24"/>
        </w:rPr>
        <w:t>.</w:t>
      </w:r>
    </w:p>
    <w:p w14:paraId="7FD8E0C1" w14:textId="2411F261" w:rsidR="000D2BDA" w:rsidRPr="006A35F1" w:rsidRDefault="000D2BDA" w:rsidP="00A53F5F">
      <w:pPr>
        <w:pBdr>
          <w:top w:val="nil"/>
          <w:left w:val="nil"/>
          <w:bottom w:val="nil"/>
          <w:right w:val="nil"/>
          <w:between w:val="nil"/>
        </w:pBdr>
        <w:spacing w:after="0" w:line="360" w:lineRule="auto"/>
        <w:jc w:val="both"/>
        <w:rPr>
          <w:rFonts w:ascii="Arial" w:hAnsi="Arial" w:cs="Arial"/>
          <w:color w:val="000000"/>
          <w:sz w:val="24"/>
          <w:szCs w:val="24"/>
        </w:rPr>
      </w:pPr>
      <w:r w:rsidRPr="006A35F1">
        <w:rPr>
          <w:rFonts w:ascii="Arial" w:hAnsi="Arial" w:cs="Arial"/>
          <w:color w:val="000000"/>
          <w:sz w:val="24"/>
          <w:szCs w:val="24"/>
        </w:rPr>
        <w:t>Los parámetros de anemia</w:t>
      </w:r>
      <w:r w:rsidRPr="006A35F1">
        <w:rPr>
          <w:rFonts w:ascii="Arial" w:hAnsi="Arial" w:cs="Arial"/>
          <w:sz w:val="24"/>
          <w:szCs w:val="24"/>
        </w:rPr>
        <w:t xml:space="preserve">, tales como </w:t>
      </w:r>
      <w:r w:rsidRPr="006A35F1">
        <w:rPr>
          <w:rFonts w:ascii="Arial" w:hAnsi="Arial" w:cs="Arial"/>
          <w:color w:val="000000"/>
          <w:sz w:val="24"/>
          <w:szCs w:val="24"/>
        </w:rPr>
        <w:t xml:space="preserve">ácido fólico, vitamina B12, </w:t>
      </w:r>
      <w:r w:rsidR="0046034F" w:rsidRPr="006A35F1">
        <w:rPr>
          <w:rFonts w:ascii="Arial" w:hAnsi="Arial" w:cs="Arial"/>
          <w:color w:val="000000"/>
          <w:sz w:val="24"/>
          <w:szCs w:val="24"/>
        </w:rPr>
        <w:t>ferremia y</w:t>
      </w:r>
      <w:r w:rsidRPr="006A35F1">
        <w:rPr>
          <w:rFonts w:ascii="Arial" w:hAnsi="Arial" w:cs="Arial"/>
          <w:color w:val="000000"/>
          <w:sz w:val="24"/>
          <w:szCs w:val="24"/>
        </w:rPr>
        <w:t xml:space="preserve"> saturación de transferrina fueron normales, con una transferrina ligeramente disminuida y una ferritina levemente aumentada. El resultado de la reacción en cadena de polimerasa (PCR) para virus del herpes simple tipo 1, herpes simple tipo 2, varicela zóster, Epstein-Barr</w:t>
      </w:r>
      <w:r w:rsidR="0046034F" w:rsidRPr="006A35F1">
        <w:rPr>
          <w:rFonts w:ascii="Arial" w:hAnsi="Arial" w:cs="Arial"/>
          <w:color w:val="000000"/>
          <w:sz w:val="24"/>
          <w:szCs w:val="24"/>
        </w:rPr>
        <w:t xml:space="preserve"> y</w:t>
      </w:r>
      <w:r w:rsidRPr="006A35F1">
        <w:rPr>
          <w:rFonts w:ascii="Arial" w:hAnsi="Arial" w:cs="Arial"/>
          <w:color w:val="000000"/>
          <w:sz w:val="24"/>
          <w:szCs w:val="24"/>
        </w:rPr>
        <w:t xml:space="preserve"> citomegalovirus fueron negativas. No se obtuvieron rescates microbiológicos de los cultivos de sangre, orina y LCR.</w:t>
      </w:r>
    </w:p>
    <w:p w14:paraId="5E64673A" w14:textId="4EAB0172" w:rsidR="0046034F" w:rsidRPr="006A35F1" w:rsidRDefault="00807B2B" w:rsidP="00A53F5F">
      <w:pPr>
        <w:pBdr>
          <w:top w:val="nil"/>
          <w:left w:val="nil"/>
          <w:bottom w:val="nil"/>
          <w:right w:val="nil"/>
          <w:between w:val="nil"/>
        </w:pBdr>
        <w:spacing w:after="0" w:line="360" w:lineRule="auto"/>
        <w:jc w:val="both"/>
        <w:rPr>
          <w:rFonts w:ascii="Arial" w:hAnsi="Arial" w:cs="Arial"/>
          <w:color w:val="000000"/>
          <w:sz w:val="24"/>
          <w:szCs w:val="24"/>
        </w:rPr>
      </w:pPr>
      <w:r w:rsidRPr="006A35F1">
        <w:rPr>
          <w:rFonts w:ascii="Arial" w:hAnsi="Arial" w:cs="Arial"/>
          <w:sz w:val="24"/>
          <w:szCs w:val="24"/>
        </w:rPr>
        <w:t>El</w:t>
      </w:r>
      <w:r w:rsidR="0046034F" w:rsidRPr="006A35F1">
        <w:rPr>
          <w:rFonts w:ascii="Arial" w:hAnsi="Arial" w:cs="Arial"/>
          <w:sz w:val="24"/>
          <w:szCs w:val="24"/>
        </w:rPr>
        <w:t xml:space="preserve"> electroencefalograma reflejó un leve enlentecimiento de la actividad eléctrica cortical sin signos focales o paroximales.</w:t>
      </w:r>
      <w:r w:rsidR="0046034F" w:rsidRPr="006A35F1">
        <w:rPr>
          <w:rFonts w:ascii="Arial" w:hAnsi="Arial" w:cs="Arial"/>
          <w:color w:val="000000"/>
          <w:sz w:val="24"/>
          <w:szCs w:val="24"/>
        </w:rPr>
        <w:t xml:space="preserve"> La </w:t>
      </w:r>
      <w:r w:rsidR="00A90C63" w:rsidRPr="006A35F1">
        <w:rPr>
          <w:rFonts w:ascii="Arial" w:hAnsi="Arial" w:cs="Arial"/>
          <w:color w:val="000000"/>
          <w:sz w:val="24"/>
          <w:szCs w:val="24"/>
        </w:rPr>
        <w:t>TC</w:t>
      </w:r>
      <w:r w:rsidR="0046034F" w:rsidRPr="006A35F1">
        <w:rPr>
          <w:rFonts w:ascii="Arial" w:hAnsi="Arial" w:cs="Arial"/>
          <w:color w:val="000000"/>
          <w:sz w:val="24"/>
          <w:szCs w:val="24"/>
        </w:rPr>
        <w:t xml:space="preserve"> de cerebro, cuello, tórax, abdomen y pelvis con contraste oral y endovenoso </w:t>
      </w:r>
      <w:r w:rsidR="00BC6669" w:rsidRPr="006A35F1">
        <w:rPr>
          <w:rFonts w:ascii="Arial" w:hAnsi="Arial" w:cs="Arial"/>
          <w:bCs/>
          <w:color w:val="000000"/>
          <w:sz w:val="24"/>
          <w:szCs w:val="24"/>
        </w:rPr>
        <w:t>no</w:t>
      </w:r>
      <w:r w:rsidR="00BC6669" w:rsidRPr="006A35F1">
        <w:rPr>
          <w:rFonts w:ascii="Arial" w:hAnsi="Arial" w:cs="Arial"/>
          <w:color w:val="000000"/>
          <w:sz w:val="24"/>
          <w:szCs w:val="24"/>
        </w:rPr>
        <w:t xml:space="preserve"> </w:t>
      </w:r>
      <w:r w:rsidR="00BC6669" w:rsidRPr="006A35F1">
        <w:rPr>
          <w:rFonts w:ascii="Arial" w:hAnsi="Arial" w:cs="Arial"/>
          <w:bCs/>
          <w:color w:val="000000"/>
          <w:sz w:val="24"/>
          <w:szCs w:val="24"/>
        </w:rPr>
        <w:t>demostró</w:t>
      </w:r>
      <w:r w:rsidR="0046034F" w:rsidRPr="006A35F1">
        <w:rPr>
          <w:rFonts w:ascii="Arial" w:hAnsi="Arial" w:cs="Arial"/>
          <w:color w:val="000000"/>
          <w:sz w:val="24"/>
          <w:szCs w:val="24"/>
        </w:rPr>
        <w:t xml:space="preserve"> </w:t>
      </w:r>
      <w:r w:rsidR="0046034F" w:rsidRPr="006A35F1">
        <w:rPr>
          <w:rFonts w:ascii="Arial" w:hAnsi="Arial" w:cs="Arial"/>
          <w:sz w:val="24"/>
          <w:szCs w:val="24"/>
        </w:rPr>
        <w:t>evidencia de</w:t>
      </w:r>
      <w:r w:rsidR="0046034F" w:rsidRPr="006A35F1">
        <w:rPr>
          <w:rFonts w:ascii="Arial" w:hAnsi="Arial" w:cs="Arial"/>
          <w:color w:val="000000"/>
          <w:sz w:val="24"/>
          <w:szCs w:val="24"/>
        </w:rPr>
        <w:t xml:space="preserve"> lesiones compatibles con neoplasias primarias o metástasis. Tanto la ecografía tiroidea como testicular no </w:t>
      </w:r>
      <w:r w:rsidR="00BC6669" w:rsidRPr="006A35F1">
        <w:rPr>
          <w:rFonts w:ascii="Arial" w:hAnsi="Arial" w:cs="Arial"/>
          <w:bCs/>
          <w:color w:val="000000"/>
          <w:sz w:val="24"/>
          <w:szCs w:val="24"/>
        </w:rPr>
        <w:t>arrojaron</w:t>
      </w:r>
      <w:r w:rsidR="0046034F" w:rsidRPr="006A35F1">
        <w:rPr>
          <w:rFonts w:ascii="Arial" w:hAnsi="Arial" w:cs="Arial"/>
          <w:color w:val="000000"/>
          <w:sz w:val="24"/>
          <w:szCs w:val="24"/>
        </w:rPr>
        <w:t xml:space="preserve"> alteraciones patológicas. La resonancia magnética cerebral (RMN) no presentó hallazgos patológicos.</w:t>
      </w:r>
      <w:r w:rsidR="00124ED0" w:rsidRPr="006A35F1">
        <w:rPr>
          <w:rFonts w:ascii="Arial" w:hAnsi="Arial" w:cs="Arial"/>
          <w:color w:val="000000"/>
          <w:sz w:val="24"/>
          <w:szCs w:val="24"/>
        </w:rPr>
        <w:t xml:space="preserve"> </w:t>
      </w:r>
      <w:r w:rsidR="00124ED0" w:rsidRPr="006A35F1">
        <w:rPr>
          <w:rFonts w:ascii="Arial" w:hAnsi="Arial" w:cs="Arial"/>
          <w:bCs/>
          <w:color w:val="000000"/>
          <w:sz w:val="24"/>
          <w:szCs w:val="24"/>
        </w:rPr>
        <w:t>(Figura 2)</w:t>
      </w:r>
      <w:r w:rsidR="0046034F" w:rsidRPr="006A35F1">
        <w:rPr>
          <w:rFonts w:ascii="Arial" w:hAnsi="Arial" w:cs="Arial"/>
          <w:color w:val="000000"/>
          <w:sz w:val="24"/>
          <w:szCs w:val="24"/>
        </w:rPr>
        <w:t xml:space="preserve"> </w:t>
      </w:r>
    </w:p>
    <w:p w14:paraId="0EBA6843" w14:textId="16EAA0CE" w:rsidR="0046034F" w:rsidRPr="006A35F1" w:rsidRDefault="0046034F" w:rsidP="00016FBE">
      <w:pPr>
        <w:pBdr>
          <w:top w:val="nil"/>
          <w:left w:val="nil"/>
          <w:bottom w:val="nil"/>
          <w:right w:val="nil"/>
          <w:between w:val="nil"/>
        </w:pBdr>
        <w:spacing w:after="0" w:line="360" w:lineRule="auto"/>
        <w:jc w:val="both"/>
        <w:rPr>
          <w:rFonts w:ascii="Arial" w:hAnsi="Arial" w:cs="Arial"/>
          <w:color w:val="000000"/>
          <w:sz w:val="24"/>
          <w:szCs w:val="24"/>
        </w:rPr>
      </w:pPr>
      <w:r w:rsidRPr="006A35F1">
        <w:rPr>
          <w:rFonts w:ascii="Arial" w:hAnsi="Arial" w:cs="Arial"/>
          <w:color w:val="000000"/>
          <w:sz w:val="24"/>
          <w:szCs w:val="24"/>
        </w:rPr>
        <w:t>El panel de anticuerpos antineuronales paraneoplásicos resultaron negativos tanto en suero como en LCR.</w:t>
      </w:r>
      <w:r w:rsidR="00892173" w:rsidRPr="006A35F1">
        <w:rPr>
          <w:rFonts w:ascii="Arial" w:hAnsi="Arial" w:cs="Arial"/>
          <w:color w:val="000000"/>
          <w:sz w:val="24"/>
          <w:szCs w:val="24"/>
        </w:rPr>
        <w:t xml:space="preserve"> </w:t>
      </w:r>
      <w:r w:rsidR="00892173" w:rsidRPr="006A35F1">
        <w:rPr>
          <w:rFonts w:ascii="Arial" w:hAnsi="Arial" w:cs="Arial"/>
          <w:bCs/>
          <w:color w:val="000000"/>
          <w:sz w:val="24"/>
          <w:szCs w:val="24"/>
        </w:rPr>
        <w:t>(Tabla 1)</w:t>
      </w:r>
      <w:r w:rsidRPr="006A35F1">
        <w:rPr>
          <w:rFonts w:ascii="Arial" w:hAnsi="Arial" w:cs="Arial"/>
          <w:color w:val="000000"/>
          <w:sz w:val="24"/>
          <w:szCs w:val="24"/>
        </w:rPr>
        <w:t xml:space="preserve"> El factor reumatoide (FR), complemento C3 y C4, inmunoglobulina IgA total sérica y los anticuerpos (Ac) anti-nucleocitoplasmático (ANA), anti-ADN nativo, anti-mitocondriales, anti-músculo liso, anti-citoplasma de neutrófilos, anti-transglutaminasa IgA, anti-JO, anti-RO/SS-A, anti-LASS-B, anti-RNP/SM, anti-SCL-70, anti-SM fueron negativos. Los marcadores tumorales CA-125, CA15-3, CA19-9, antígeno carcinoembrionario (CEA), alfafetoproteína (AFP) y el antígeno prostático específico se </w:t>
      </w:r>
      <w:r w:rsidRPr="006A35F1">
        <w:rPr>
          <w:rFonts w:ascii="Arial" w:hAnsi="Arial" w:cs="Arial"/>
          <w:bCs/>
          <w:color w:val="000000"/>
          <w:sz w:val="24"/>
          <w:szCs w:val="24"/>
        </w:rPr>
        <w:t>halla</w:t>
      </w:r>
      <w:r w:rsidR="00BC6669" w:rsidRPr="006A35F1">
        <w:rPr>
          <w:rFonts w:ascii="Arial" w:hAnsi="Arial" w:cs="Arial"/>
          <w:bCs/>
          <w:color w:val="000000"/>
          <w:sz w:val="24"/>
          <w:szCs w:val="24"/>
        </w:rPr>
        <w:t>ron</w:t>
      </w:r>
      <w:r w:rsidRPr="006A35F1">
        <w:rPr>
          <w:rFonts w:ascii="Arial" w:hAnsi="Arial" w:cs="Arial"/>
          <w:color w:val="000000"/>
          <w:sz w:val="24"/>
          <w:szCs w:val="24"/>
        </w:rPr>
        <w:t xml:space="preserve"> dentro de los rangos de normalidad. </w:t>
      </w:r>
    </w:p>
    <w:p w14:paraId="52046C45" w14:textId="72DE29A7" w:rsidR="0046034F" w:rsidRPr="006A35F1" w:rsidRDefault="0046034F" w:rsidP="00016FBE">
      <w:pPr>
        <w:pBdr>
          <w:top w:val="nil"/>
          <w:left w:val="nil"/>
          <w:bottom w:val="nil"/>
          <w:right w:val="nil"/>
          <w:between w:val="nil"/>
        </w:pBdr>
        <w:spacing w:after="0" w:line="360" w:lineRule="auto"/>
        <w:jc w:val="both"/>
        <w:rPr>
          <w:rFonts w:ascii="Arial" w:hAnsi="Arial" w:cs="Arial"/>
          <w:color w:val="000000"/>
          <w:sz w:val="24"/>
          <w:szCs w:val="24"/>
        </w:rPr>
      </w:pPr>
      <w:r w:rsidRPr="006A35F1">
        <w:rPr>
          <w:rFonts w:ascii="Arial" w:hAnsi="Arial" w:cs="Arial"/>
          <w:color w:val="000000"/>
          <w:sz w:val="24"/>
          <w:szCs w:val="24"/>
        </w:rPr>
        <w:t xml:space="preserve">Se </w:t>
      </w:r>
      <w:r w:rsidRPr="006A35F1">
        <w:rPr>
          <w:rFonts w:ascii="Arial" w:hAnsi="Arial" w:cs="Arial"/>
          <w:sz w:val="24"/>
          <w:szCs w:val="24"/>
        </w:rPr>
        <w:t>obtuvo</w:t>
      </w:r>
      <w:r w:rsidRPr="006A35F1">
        <w:rPr>
          <w:rFonts w:ascii="Arial" w:hAnsi="Arial" w:cs="Arial"/>
          <w:color w:val="000000"/>
          <w:sz w:val="24"/>
          <w:szCs w:val="24"/>
        </w:rPr>
        <w:t xml:space="preserve"> una segunda muestra de LCR con VDRL en LCR no reactivo,</w:t>
      </w:r>
      <w:r w:rsidRPr="006A35F1">
        <w:rPr>
          <w:rFonts w:ascii="Arial" w:hAnsi="Arial" w:cs="Arial"/>
          <w:sz w:val="24"/>
          <w:szCs w:val="24"/>
        </w:rPr>
        <w:t xml:space="preserve"> </w:t>
      </w:r>
      <w:r w:rsidRPr="006A35F1">
        <w:rPr>
          <w:rFonts w:ascii="Arial" w:hAnsi="Arial" w:cs="Arial"/>
          <w:color w:val="000000"/>
          <w:sz w:val="24"/>
          <w:szCs w:val="24"/>
        </w:rPr>
        <w:t>negativo para células atípicas, y presencia de aTG en LCR de 538.8 UI/ml.</w:t>
      </w:r>
    </w:p>
    <w:p w14:paraId="18B13D7A" w14:textId="4FF0E474" w:rsidR="00E91B0D" w:rsidRPr="006A35F1" w:rsidRDefault="00E91B0D" w:rsidP="00016FBE">
      <w:pPr>
        <w:pBdr>
          <w:top w:val="nil"/>
          <w:left w:val="nil"/>
          <w:bottom w:val="nil"/>
          <w:right w:val="nil"/>
          <w:between w:val="nil"/>
        </w:pBdr>
        <w:spacing w:after="0" w:line="360" w:lineRule="auto"/>
        <w:jc w:val="both"/>
        <w:rPr>
          <w:rFonts w:ascii="Arial" w:hAnsi="Arial" w:cs="Arial"/>
          <w:bCs/>
          <w:color w:val="000000"/>
          <w:sz w:val="24"/>
          <w:szCs w:val="24"/>
        </w:rPr>
      </w:pPr>
    </w:p>
    <w:p w14:paraId="6779087C" w14:textId="3B0A77D3" w:rsidR="0046034F" w:rsidRPr="006A35F1" w:rsidRDefault="0046034F" w:rsidP="00016FBE">
      <w:pPr>
        <w:pBdr>
          <w:top w:val="nil"/>
          <w:left w:val="nil"/>
          <w:bottom w:val="nil"/>
          <w:right w:val="nil"/>
          <w:between w:val="nil"/>
        </w:pBdr>
        <w:spacing w:after="0" w:line="360" w:lineRule="auto"/>
        <w:jc w:val="both"/>
        <w:rPr>
          <w:rFonts w:ascii="Arial" w:hAnsi="Arial" w:cs="Arial"/>
          <w:b/>
          <w:bCs/>
          <w:color w:val="000000"/>
          <w:sz w:val="24"/>
          <w:szCs w:val="24"/>
        </w:rPr>
      </w:pPr>
      <w:r w:rsidRPr="006A35F1">
        <w:rPr>
          <w:rFonts w:ascii="Arial" w:hAnsi="Arial" w:cs="Arial"/>
          <w:b/>
          <w:bCs/>
          <w:color w:val="000000"/>
          <w:sz w:val="24"/>
          <w:szCs w:val="24"/>
        </w:rPr>
        <w:t>Evolución</w:t>
      </w:r>
      <w:r w:rsidR="006A35F1" w:rsidRPr="006A35F1">
        <w:rPr>
          <w:rFonts w:ascii="Arial" w:hAnsi="Arial" w:cs="Arial"/>
          <w:b/>
          <w:bCs/>
          <w:color w:val="000000"/>
          <w:sz w:val="24"/>
          <w:szCs w:val="24"/>
        </w:rPr>
        <w:t>:</w:t>
      </w:r>
    </w:p>
    <w:p w14:paraId="0E4071BB" w14:textId="3E0C5205" w:rsidR="00D77E85" w:rsidRPr="006A35F1" w:rsidRDefault="00570B35" w:rsidP="0019494A">
      <w:pPr>
        <w:pBdr>
          <w:top w:val="nil"/>
          <w:left w:val="nil"/>
          <w:bottom w:val="nil"/>
          <w:right w:val="nil"/>
          <w:between w:val="nil"/>
        </w:pBdr>
        <w:spacing w:after="0" w:line="360" w:lineRule="auto"/>
        <w:jc w:val="both"/>
        <w:rPr>
          <w:rFonts w:ascii="Arial" w:hAnsi="Arial" w:cs="Arial"/>
          <w:color w:val="000000"/>
          <w:sz w:val="24"/>
          <w:szCs w:val="24"/>
        </w:rPr>
      </w:pPr>
      <w:r w:rsidRPr="006A35F1">
        <w:rPr>
          <w:rFonts w:ascii="Arial" w:hAnsi="Arial" w:cs="Arial"/>
          <w:color w:val="000000"/>
          <w:sz w:val="24"/>
          <w:szCs w:val="24"/>
        </w:rPr>
        <w:t xml:space="preserve">Durante </w:t>
      </w:r>
      <w:r w:rsidR="0046034F" w:rsidRPr="006A35F1">
        <w:rPr>
          <w:rFonts w:ascii="Arial" w:hAnsi="Arial" w:cs="Arial"/>
          <w:color w:val="000000"/>
          <w:sz w:val="24"/>
          <w:szCs w:val="24"/>
        </w:rPr>
        <w:t>su internación en cuidados intensivos</w:t>
      </w:r>
      <w:r w:rsidRPr="006A35F1">
        <w:rPr>
          <w:rFonts w:ascii="Arial" w:hAnsi="Arial" w:cs="Arial"/>
          <w:color w:val="000000"/>
          <w:sz w:val="24"/>
          <w:szCs w:val="24"/>
        </w:rPr>
        <w:t xml:space="preserve"> realizó tratamiento empírico con aciclovir 10mg/kg cada ocho horas IV</w:t>
      </w:r>
      <w:r w:rsidR="0046034F" w:rsidRPr="006A35F1">
        <w:rPr>
          <w:rFonts w:ascii="Arial" w:hAnsi="Arial" w:cs="Arial"/>
          <w:color w:val="000000"/>
          <w:sz w:val="24"/>
          <w:szCs w:val="24"/>
        </w:rPr>
        <w:t>, el cual finalizó una vez recibido</w:t>
      </w:r>
      <w:r w:rsidR="0064068E" w:rsidRPr="006A35F1">
        <w:rPr>
          <w:rFonts w:ascii="Arial" w:hAnsi="Arial" w:cs="Arial"/>
          <w:color w:val="000000"/>
          <w:sz w:val="24"/>
          <w:szCs w:val="24"/>
        </w:rPr>
        <w:t xml:space="preserve"> el resultado</w:t>
      </w:r>
      <w:r w:rsidR="0019494A" w:rsidRPr="006A35F1">
        <w:rPr>
          <w:rFonts w:ascii="Arial" w:hAnsi="Arial" w:cs="Arial"/>
          <w:color w:val="000000"/>
          <w:sz w:val="24"/>
          <w:szCs w:val="24"/>
        </w:rPr>
        <w:t xml:space="preserve"> </w:t>
      </w:r>
      <w:r w:rsidR="0019494A" w:rsidRPr="006A35F1">
        <w:rPr>
          <w:rFonts w:ascii="Arial" w:hAnsi="Arial" w:cs="Arial"/>
          <w:bCs/>
          <w:color w:val="000000"/>
          <w:sz w:val="24"/>
          <w:szCs w:val="24"/>
        </w:rPr>
        <w:t>negativo</w:t>
      </w:r>
      <w:r w:rsidR="0064068E" w:rsidRPr="006A35F1">
        <w:rPr>
          <w:rFonts w:ascii="Arial" w:hAnsi="Arial" w:cs="Arial"/>
          <w:color w:val="000000"/>
          <w:sz w:val="24"/>
          <w:szCs w:val="24"/>
        </w:rPr>
        <w:t xml:space="preserve"> de</w:t>
      </w:r>
      <w:r w:rsidR="0046034F" w:rsidRPr="006A35F1">
        <w:rPr>
          <w:rFonts w:ascii="Arial" w:hAnsi="Arial" w:cs="Arial"/>
          <w:color w:val="000000"/>
          <w:sz w:val="24"/>
          <w:szCs w:val="24"/>
        </w:rPr>
        <w:t xml:space="preserve"> la PCR para neurovirus.</w:t>
      </w:r>
      <w:r w:rsidR="00D77E85" w:rsidRPr="006A35F1">
        <w:rPr>
          <w:rFonts w:ascii="Arial" w:hAnsi="Arial" w:cs="Arial"/>
          <w:color w:val="000000"/>
          <w:sz w:val="24"/>
          <w:szCs w:val="24"/>
        </w:rPr>
        <w:t xml:space="preserve"> Habiendo descartado las causas infecciosas, se inició tratamiento con pulso intravenoso de metilprednisolona </w:t>
      </w:r>
      <w:r w:rsidR="00D77E85" w:rsidRPr="006A35F1">
        <w:rPr>
          <w:rFonts w:ascii="Arial" w:hAnsi="Arial" w:cs="Arial"/>
          <w:sz w:val="24"/>
          <w:szCs w:val="24"/>
        </w:rPr>
        <w:t>1 gr</w:t>
      </w:r>
      <w:r w:rsidR="00D77E85" w:rsidRPr="006A35F1">
        <w:rPr>
          <w:rFonts w:ascii="Arial" w:hAnsi="Arial" w:cs="Arial"/>
          <w:color w:val="000000"/>
          <w:sz w:val="24"/>
          <w:szCs w:val="24"/>
        </w:rPr>
        <w:t>/día por 5 días con mejoría clínica parcial del cuadro neurológico</w:t>
      </w:r>
      <w:r w:rsidR="0064068E" w:rsidRPr="006A35F1">
        <w:rPr>
          <w:rFonts w:ascii="Arial" w:hAnsi="Arial" w:cs="Arial"/>
          <w:color w:val="000000"/>
          <w:sz w:val="24"/>
          <w:szCs w:val="24"/>
        </w:rPr>
        <w:t>.</w:t>
      </w:r>
      <w:r w:rsidR="00D77E85" w:rsidRPr="006A35F1">
        <w:rPr>
          <w:rFonts w:ascii="Arial" w:hAnsi="Arial" w:cs="Arial"/>
          <w:color w:val="000000"/>
          <w:sz w:val="24"/>
          <w:szCs w:val="24"/>
        </w:rPr>
        <w:t xml:space="preserve"> </w:t>
      </w:r>
      <w:r w:rsidR="0064068E" w:rsidRPr="006A35F1">
        <w:rPr>
          <w:rFonts w:ascii="Arial" w:hAnsi="Arial" w:cs="Arial"/>
          <w:sz w:val="24"/>
          <w:szCs w:val="24"/>
        </w:rPr>
        <w:t>E</w:t>
      </w:r>
      <w:r w:rsidR="0064068E" w:rsidRPr="006A35F1">
        <w:rPr>
          <w:rFonts w:ascii="Arial" w:hAnsi="Arial" w:cs="Arial"/>
          <w:color w:val="000000"/>
          <w:sz w:val="24"/>
          <w:szCs w:val="24"/>
        </w:rPr>
        <w:t>volucionó con</w:t>
      </w:r>
      <w:r w:rsidR="00D77E85" w:rsidRPr="006A35F1">
        <w:rPr>
          <w:rFonts w:ascii="Arial" w:hAnsi="Arial" w:cs="Arial"/>
          <w:color w:val="000000"/>
          <w:sz w:val="24"/>
          <w:szCs w:val="24"/>
        </w:rPr>
        <w:t xml:space="preserve"> persistencia de </w:t>
      </w:r>
      <w:r w:rsidR="0064068E" w:rsidRPr="006A35F1">
        <w:rPr>
          <w:rFonts w:ascii="Arial" w:hAnsi="Arial" w:cs="Arial"/>
          <w:color w:val="000000"/>
          <w:sz w:val="24"/>
          <w:szCs w:val="24"/>
        </w:rPr>
        <w:t xml:space="preserve">la </w:t>
      </w:r>
      <w:r w:rsidR="00D77E85" w:rsidRPr="006A35F1">
        <w:rPr>
          <w:rFonts w:ascii="Arial" w:hAnsi="Arial" w:cs="Arial"/>
          <w:color w:val="000000"/>
          <w:sz w:val="24"/>
          <w:szCs w:val="24"/>
        </w:rPr>
        <w:t>afectación cognitiva</w:t>
      </w:r>
      <w:r w:rsidR="00D77E85" w:rsidRPr="006A35F1">
        <w:rPr>
          <w:rFonts w:ascii="Arial" w:hAnsi="Arial" w:cs="Arial"/>
          <w:sz w:val="24"/>
          <w:szCs w:val="24"/>
        </w:rPr>
        <w:t>,</w:t>
      </w:r>
      <w:r w:rsidR="00D77E85" w:rsidRPr="006A35F1">
        <w:rPr>
          <w:rFonts w:ascii="Arial" w:hAnsi="Arial" w:cs="Arial"/>
          <w:color w:val="000000"/>
          <w:sz w:val="24"/>
          <w:szCs w:val="24"/>
        </w:rPr>
        <w:t xml:space="preserve"> </w:t>
      </w:r>
      <w:r w:rsidR="00D77E85" w:rsidRPr="006A35F1">
        <w:rPr>
          <w:rFonts w:ascii="Arial" w:hAnsi="Arial" w:cs="Arial"/>
          <w:sz w:val="24"/>
          <w:szCs w:val="24"/>
        </w:rPr>
        <w:t>p</w:t>
      </w:r>
      <w:r w:rsidR="00D77E85" w:rsidRPr="006A35F1">
        <w:rPr>
          <w:rFonts w:ascii="Arial" w:hAnsi="Arial" w:cs="Arial"/>
          <w:color w:val="000000"/>
          <w:sz w:val="24"/>
          <w:szCs w:val="24"/>
        </w:rPr>
        <w:t>resent</w:t>
      </w:r>
      <w:r w:rsidR="00D77E85" w:rsidRPr="006A35F1">
        <w:rPr>
          <w:rFonts w:ascii="Arial" w:hAnsi="Arial" w:cs="Arial"/>
          <w:sz w:val="24"/>
          <w:szCs w:val="24"/>
        </w:rPr>
        <w:t>ando</w:t>
      </w:r>
      <w:r w:rsidR="00D77E85" w:rsidRPr="006A35F1">
        <w:rPr>
          <w:rFonts w:ascii="Arial" w:hAnsi="Arial" w:cs="Arial"/>
          <w:color w:val="000000"/>
          <w:sz w:val="24"/>
          <w:szCs w:val="24"/>
        </w:rPr>
        <w:t xml:space="preserve"> fallas mnésicas, ideación delirante de tipo paranoide</w:t>
      </w:r>
      <w:r w:rsidR="0064068E" w:rsidRPr="006A35F1">
        <w:rPr>
          <w:rFonts w:ascii="Arial" w:hAnsi="Arial" w:cs="Arial"/>
          <w:color w:val="000000"/>
          <w:sz w:val="24"/>
          <w:szCs w:val="24"/>
        </w:rPr>
        <w:t xml:space="preserve"> con</w:t>
      </w:r>
      <w:r w:rsidR="00D77E85" w:rsidRPr="006A35F1">
        <w:rPr>
          <w:rFonts w:ascii="Arial" w:hAnsi="Arial" w:cs="Arial"/>
          <w:color w:val="000000"/>
          <w:sz w:val="24"/>
          <w:szCs w:val="24"/>
        </w:rPr>
        <w:t xml:space="preserve"> alucinaciones visuales</w:t>
      </w:r>
      <w:r w:rsidR="0064068E" w:rsidRPr="006A35F1">
        <w:rPr>
          <w:rFonts w:ascii="Arial" w:hAnsi="Arial" w:cs="Arial"/>
          <w:color w:val="000000"/>
          <w:sz w:val="24"/>
          <w:szCs w:val="24"/>
        </w:rPr>
        <w:t>.</w:t>
      </w:r>
      <w:r w:rsidR="00D77E85" w:rsidRPr="006A35F1">
        <w:rPr>
          <w:rFonts w:ascii="Arial" w:hAnsi="Arial" w:cs="Arial"/>
          <w:color w:val="000000"/>
          <w:sz w:val="24"/>
          <w:szCs w:val="24"/>
        </w:rPr>
        <w:t xml:space="preserve"> Una vez realizado el diagnóstico de EH, se decidió iniciar tratamiento con inmunoglobulina intravenosa (IgIV) 400mg/kg/día por cinco días con </w:t>
      </w:r>
      <w:r w:rsidR="00D77E85" w:rsidRPr="006A35F1">
        <w:rPr>
          <w:rFonts w:ascii="Arial" w:hAnsi="Arial" w:cs="Arial"/>
          <w:color w:val="000000"/>
          <w:sz w:val="24"/>
          <w:szCs w:val="24"/>
        </w:rPr>
        <w:lastRenderedPageBreak/>
        <w:t>buena respuesta clínica</w:t>
      </w:r>
      <w:r w:rsidR="00A12ADB" w:rsidRPr="006A35F1">
        <w:rPr>
          <w:rFonts w:ascii="Arial" w:hAnsi="Arial" w:cs="Arial"/>
          <w:color w:val="000000"/>
          <w:sz w:val="24"/>
          <w:szCs w:val="24"/>
        </w:rPr>
        <w:t>.</w:t>
      </w:r>
      <w:r w:rsidR="00D77E85" w:rsidRPr="006A35F1">
        <w:rPr>
          <w:rFonts w:ascii="Arial" w:hAnsi="Arial" w:cs="Arial"/>
          <w:sz w:val="24"/>
          <w:szCs w:val="24"/>
        </w:rPr>
        <w:t xml:space="preserve"> Se le otorgó al paciente el egreso hospitalario, presentando remisión clínica dentro del primer año.</w:t>
      </w:r>
    </w:p>
    <w:p w14:paraId="6294EA25" w14:textId="536D8DD5" w:rsidR="00A12ADB" w:rsidRPr="006A35F1" w:rsidRDefault="00A12ADB" w:rsidP="00016FBE">
      <w:pPr>
        <w:pBdr>
          <w:top w:val="nil"/>
          <w:left w:val="nil"/>
          <w:bottom w:val="nil"/>
          <w:right w:val="nil"/>
          <w:between w:val="nil"/>
        </w:pBdr>
        <w:tabs>
          <w:tab w:val="left" w:pos="1830"/>
        </w:tabs>
        <w:spacing w:after="0" w:line="360" w:lineRule="auto"/>
        <w:jc w:val="both"/>
        <w:rPr>
          <w:rFonts w:ascii="Arial" w:hAnsi="Arial" w:cs="Arial"/>
          <w:color w:val="000000"/>
          <w:sz w:val="24"/>
          <w:szCs w:val="24"/>
        </w:rPr>
      </w:pPr>
    </w:p>
    <w:p w14:paraId="622E1EC2" w14:textId="114D74D6" w:rsidR="00E91B0D" w:rsidRPr="006A35F1" w:rsidRDefault="00D77E85" w:rsidP="00016FBE">
      <w:pPr>
        <w:pBdr>
          <w:top w:val="nil"/>
          <w:left w:val="nil"/>
          <w:bottom w:val="nil"/>
          <w:right w:val="nil"/>
          <w:between w:val="nil"/>
        </w:pBdr>
        <w:spacing w:after="0" w:line="360" w:lineRule="auto"/>
        <w:jc w:val="both"/>
        <w:rPr>
          <w:rFonts w:ascii="Arial" w:hAnsi="Arial" w:cs="Arial"/>
          <w:b/>
          <w:bCs/>
          <w:color w:val="000000"/>
          <w:sz w:val="24"/>
          <w:szCs w:val="24"/>
        </w:rPr>
      </w:pPr>
      <w:r w:rsidRPr="006A35F1">
        <w:rPr>
          <w:rFonts w:ascii="Arial" w:hAnsi="Arial" w:cs="Arial"/>
          <w:b/>
          <w:bCs/>
          <w:color w:val="000000"/>
          <w:sz w:val="24"/>
          <w:szCs w:val="24"/>
        </w:rPr>
        <w:t>Diagnóstico</w:t>
      </w:r>
      <w:r w:rsidR="006A35F1">
        <w:rPr>
          <w:rFonts w:ascii="Arial" w:hAnsi="Arial" w:cs="Arial"/>
          <w:b/>
          <w:bCs/>
          <w:color w:val="000000"/>
          <w:sz w:val="24"/>
          <w:szCs w:val="24"/>
        </w:rPr>
        <w:t>:</w:t>
      </w:r>
    </w:p>
    <w:p w14:paraId="1E5EE2CD" w14:textId="4133468A" w:rsidR="00E91B0D" w:rsidRPr="006A35F1" w:rsidRDefault="00D77E85" w:rsidP="006A35F1">
      <w:pPr>
        <w:pBdr>
          <w:top w:val="nil"/>
          <w:left w:val="nil"/>
          <w:bottom w:val="nil"/>
          <w:right w:val="nil"/>
          <w:between w:val="nil"/>
        </w:pBdr>
        <w:spacing w:after="0" w:line="360" w:lineRule="auto"/>
        <w:jc w:val="both"/>
        <w:rPr>
          <w:rFonts w:ascii="Arial" w:hAnsi="Arial" w:cs="Arial"/>
          <w:color w:val="000000"/>
          <w:sz w:val="24"/>
          <w:szCs w:val="24"/>
        </w:rPr>
      </w:pPr>
      <w:r w:rsidRPr="006A35F1">
        <w:rPr>
          <w:rFonts w:ascii="Arial" w:hAnsi="Arial" w:cs="Arial"/>
          <w:color w:val="000000"/>
          <w:sz w:val="24"/>
          <w:szCs w:val="24"/>
        </w:rPr>
        <w:t xml:space="preserve">Dentro del algoritmo diagnóstico, se excluyeron múltiples causas de estatus epiléptico y deterioro del sensorio, como el coma mixedematoso hipotiroideo, accidente cerebrovascular, encefalitis virales, encefalitis autoinmunes o enfermedad de Creutzfeldt-Jakob. Habiendo descartado dichas entidades por medio de laboratorio, serologías, dosaje de anticuerpos y neuroimágenes normales, se decidió repetir una PL hallándose aTG positivos en LCR. </w:t>
      </w:r>
      <w:r w:rsidR="00A12ADB" w:rsidRPr="006A35F1">
        <w:rPr>
          <w:rFonts w:ascii="Arial" w:hAnsi="Arial" w:cs="Arial"/>
          <w:color w:val="000000"/>
          <w:sz w:val="24"/>
          <w:szCs w:val="24"/>
        </w:rPr>
        <w:t>E</w:t>
      </w:r>
      <w:r w:rsidRPr="006A35F1">
        <w:rPr>
          <w:rFonts w:ascii="Arial" w:hAnsi="Arial" w:cs="Arial"/>
          <w:color w:val="000000"/>
          <w:sz w:val="24"/>
          <w:szCs w:val="24"/>
        </w:rPr>
        <w:t xml:space="preserve">ste hallazgo, </w:t>
      </w:r>
      <w:r w:rsidR="0019494A" w:rsidRPr="006A35F1">
        <w:rPr>
          <w:rFonts w:ascii="Arial" w:hAnsi="Arial" w:cs="Arial"/>
          <w:bCs/>
          <w:color w:val="000000"/>
          <w:sz w:val="24"/>
          <w:szCs w:val="24"/>
        </w:rPr>
        <w:t>asociado al</w:t>
      </w:r>
      <w:r w:rsidR="00183A88" w:rsidRPr="006A35F1">
        <w:rPr>
          <w:rFonts w:ascii="Arial" w:hAnsi="Arial" w:cs="Arial"/>
          <w:color w:val="000000"/>
          <w:sz w:val="24"/>
          <w:szCs w:val="24"/>
        </w:rPr>
        <w:t xml:space="preserve"> cuadro clínico presentado por el paciente</w:t>
      </w:r>
      <w:r w:rsidR="0019494A" w:rsidRPr="006A35F1">
        <w:rPr>
          <w:rFonts w:ascii="Arial" w:hAnsi="Arial" w:cs="Arial"/>
          <w:color w:val="000000"/>
          <w:sz w:val="24"/>
          <w:szCs w:val="24"/>
        </w:rPr>
        <w:t xml:space="preserve"> </w:t>
      </w:r>
      <w:r w:rsidR="0019494A" w:rsidRPr="006A35F1">
        <w:rPr>
          <w:rFonts w:ascii="Arial" w:hAnsi="Arial" w:cs="Arial"/>
          <w:bCs/>
          <w:color w:val="000000"/>
          <w:sz w:val="24"/>
          <w:szCs w:val="24"/>
        </w:rPr>
        <w:t>y</w:t>
      </w:r>
      <w:r w:rsidR="0019494A" w:rsidRPr="006A35F1">
        <w:rPr>
          <w:rFonts w:ascii="Arial" w:hAnsi="Arial" w:cs="Arial"/>
          <w:color w:val="000000"/>
          <w:sz w:val="24"/>
          <w:szCs w:val="24"/>
        </w:rPr>
        <w:t xml:space="preserve"> </w:t>
      </w:r>
      <w:r w:rsidR="0019494A" w:rsidRPr="006A35F1">
        <w:rPr>
          <w:rFonts w:ascii="Arial" w:hAnsi="Arial" w:cs="Arial"/>
          <w:bCs/>
          <w:color w:val="000000"/>
          <w:sz w:val="24"/>
          <w:szCs w:val="24"/>
        </w:rPr>
        <w:t>los</w:t>
      </w:r>
      <w:r w:rsidRPr="006A35F1">
        <w:rPr>
          <w:rFonts w:ascii="Arial" w:hAnsi="Arial" w:cs="Arial"/>
          <w:color w:val="000000"/>
          <w:sz w:val="24"/>
          <w:szCs w:val="24"/>
        </w:rPr>
        <w:t xml:space="preserve"> </w:t>
      </w:r>
      <w:r w:rsidR="00183A88" w:rsidRPr="006A35F1">
        <w:rPr>
          <w:rFonts w:ascii="Arial" w:hAnsi="Arial" w:cs="Arial"/>
          <w:color w:val="000000"/>
          <w:sz w:val="24"/>
          <w:szCs w:val="24"/>
        </w:rPr>
        <w:t>títulos elevados de anticuerpos antitiroideos séricos,</w:t>
      </w:r>
      <w:r w:rsidR="0019494A" w:rsidRPr="006A35F1">
        <w:rPr>
          <w:rFonts w:ascii="Arial" w:hAnsi="Arial" w:cs="Arial"/>
          <w:color w:val="000000"/>
          <w:sz w:val="24"/>
          <w:szCs w:val="24"/>
        </w:rPr>
        <w:t xml:space="preserve"> </w:t>
      </w:r>
      <w:r w:rsidR="0019494A" w:rsidRPr="006A35F1">
        <w:rPr>
          <w:rFonts w:ascii="Arial" w:hAnsi="Arial" w:cs="Arial"/>
          <w:bCs/>
          <w:color w:val="000000"/>
          <w:sz w:val="24"/>
          <w:szCs w:val="24"/>
        </w:rPr>
        <w:t>fue</w:t>
      </w:r>
      <w:r w:rsidR="00BC6669" w:rsidRPr="006A35F1">
        <w:rPr>
          <w:rFonts w:ascii="Arial" w:hAnsi="Arial" w:cs="Arial"/>
          <w:bCs/>
          <w:color w:val="000000"/>
          <w:sz w:val="24"/>
          <w:szCs w:val="24"/>
        </w:rPr>
        <w:t>ron</w:t>
      </w:r>
      <w:r w:rsidR="00183A88" w:rsidRPr="006A35F1">
        <w:rPr>
          <w:rFonts w:ascii="Arial" w:hAnsi="Arial" w:cs="Arial"/>
          <w:color w:val="000000"/>
          <w:sz w:val="24"/>
          <w:szCs w:val="24"/>
        </w:rPr>
        <w:t xml:space="preserve"> compatibles con el diagnóstico de EH. </w:t>
      </w:r>
      <w:r w:rsidRPr="006A35F1">
        <w:rPr>
          <w:rFonts w:ascii="Arial" w:hAnsi="Arial" w:cs="Arial"/>
          <w:color w:val="000000"/>
          <w:sz w:val="24"/>
          <w:szCs w:val="24"/>
        </w:rPr>
        <w:t xml:space="preserve"> </w:t>
      </w:r>
    </w:p>
    <w:p w14:paraId="34E2AAE4" w14:textId="77777777" w:rsidR="00F94B30" w:rsidRPr="006A35F1" w:rsidRDefault="00F94B30" w:rsidP="00016FBE">
      <w:pPr>
        <w:pBdr>
          <w:top w:val="nil"/>
          <w:left w:val="nil"/>
          <w:bottom w:val="nil"/>
          <w:right w:val="nil"/>
          <w:between w:val="nil"/>
        </w:pBdr>
        <w:spacing w:after="0" w:line="360" w:lineRule="auto"/>
        <w:jc w:val="both"/>
        <w:rPr>
          <w:rFonts w:ascii="Arial" w:hAnsi="Arial" w:cs="Arial"/>
          <w:color w:val="000000"/>
          <w:sz w:val="24"/>
          <w:szCs w:val="24"/>
        </w:rPr>
      </w:pPr>
    </w:p>
    <w:p w14:paraId="2EAE1295" w14:textId="39EB9CEE" w:rsidR="00E91B0D" w:rsidRPr="006A560E" w:rsidRDefault="00570B35" w:rsidP="00016FBE">
      <w:pPr>
        <w:pBdr>
          <w:top w:val="nil"/>
          <w:left w:val="nil"/>
          <w:bottom w:val="nil"/>
          <w:right w:val="nil"/>
          <w:between w:val="nil"/>
        </w:pBdr>
        <w:spacing w:after="0" w:line="360" w:lineRule="auto"/>
        <w:jc w:val="both"/>
        <w:rPr>
          <w:rFonts w:ascii="Arial" w:hAnsi="Arial" w:cs="Arial"/>
          <w:b/>
          <w:color w:val="000000"/>
          <w:sz w:val="24"/>
          <w:szCs w:val="24"/>
        </w:rPr>
      </w:pPr>
      <w:r w:rsidRPr="006A560E">
        <w:rPr>
          <w:rFonts w:ascii="Arial" w:hAnsi="Arial" w:cs="Arial"/>
          <w:b/>
          <w:color w:val="000000"/>
          <w:sz w:val="24"/>
          <w:szCs w:val="24"/>
        </w:rPr>
        <w:t>Discusión</w:t>
      </w:r>
      <w:r w:rsidR="006A560E">
        <w:rPr>
          <w:rFonts w:ascii="Arial" w:hAnsi="Arial" w:cs="Arial"/>
          <w:b/>
          <w:color w:val="000000"/>
          <w:sz w:val="24"/>
          <w:szCs w:val="24"/>
        </w:rPr>
        <w:t>:</w:t>
      </w:r>
    </w:p>
    <w:p w14:paraId="430B96E7" w14:textId="30D3DA79" w:rsidR="00E91B0D" w:rsidRPr="006A35F1" w:rsidRDefault="00570B35" w:rsidP="00016FBE">
      <w:pPr>
        <w:pBdr>
          <w:top w:val="nil"/>
          <w:left w:val="nil"/>
          <w:bottom w:val="nil"/>
          <w:right w:val="nil"/>
          <w:between w:val="nil"/>
        </w:pBdr>
        <w:spacing w:after="0" w:line="360" w:lineRule="auto"/>
        <w:jc w:val="both"/>
        <w:rPr>
          <w:rFonts w:ascii="Arial" w:hAnsi="Arial" w:cs="Arial"/>
          <w:sz w:val="24"/>
          <w:szCs w:val="24"/>
        </w:rPr>
      </w:pPr>
      <w:r w:rsidRPr="006A35F1">
        <w:rPr>
          <w:rFonts w:ascii="Arial" w:hAnsi="Arial" w:cs="Arial"/>
          <w:color w:val="000000"/>
          <w:sz w:val="24"/>
          <w:szCs w:val="24"/>
        </w:rPr>
        <w:t>L</w:t>
      </w:r>
      <w:r w:rsidRPr="006A35F1">
        <w:rPr>
          <w:rFonts w:ascii="Arial" w:hAnsi="Arial" w:cs="Arial"/>
          <w:sz w:val="24"/>
          <w:szCs w:val="24"/>
        </w:rPr>
        <w:t xml:space="preserve">a EH constituye un desafío diagnóstico, dada la amplia variedad de signos y síntomas y su </w:t>
      </w:r>
      <w:r w:rsidR="0019494A" w:rsidRPr="006A35F1">
        <w:rPr>
          <w:rFonts w:ascii="Arial" w:hAnsi="Arial" w:cs="Arial"/>
          <w:bCs/>
          <w:sz w:val="24"/>
          <w:szCs w:val="24"/>
        </w:rPr>
        <w:t>rápida progresión</w:t>
      </w:r>
      <w:r w:rsidR="0064068E" w:rsidRPr="006A35F1">
        <w:rPr>
          <w:rFonts w:ascii="Arial" w:hAnsi="Arial" w:cs="Arial"/>
          <w:sz w:val="24"/>
          <w:szCs w:val="24"/>
        </w:rPr>
        <w:t>.</w:t>
      </w:r>
      <w:r w:rsidRPr="006A35F1">
        <w:rPr>
          <w:rFonts w:ascii="Arial" w:hAnsi="Arial" w:cs="Arial"/>
          <w:sz w:val="24"/>
          <w:szCs w:val="24"/>
        </w:rPr>
        <w:t xml:space="preserve"> Presentamos el caso de un paciente con síntomas y hallazgos de laboratorio compatibles con EH que no respondió a la terapia inicial con glucocorticoides. Son escasos los trabajos publicados sobre el uso de IgIV como parte del tratamiento de pacientes con EH no respondedores a corticoides. Uno de ellos, publicado por S.Jacob y Y.Rajabally et.al en 2005 </w:t>
      </w:r>
      <w:r w:rsidRPr="006A35F1">
        <w:rPr>
          <w:rFonts w:ascii="Arial" w:hAnsi="Arial" w:cs="Arial"/>
          <w:sz w:val="24"/>
          <w:szCs w:val="24"/>
          <w:vertAlign w:val="superscript"/>
        </w:rPr>
        <w:t>4</w:t>
      </w:r>
      <w:r w:rsidRPr="006A35F1">
        <w:rPr>
          <w:rFonts w:ascii="Arial" w:hAnsi="Arial" w:cs="Arial"/>
          <w:sz w:val="24"/>
          <w:szCs w:val="24"/>
        </w:rPr>
        <w:t xml:space="preserve">, describió </w:t>
      </w:r>
      <w:r w:rsidR="00697702" w:rsidRPr="006A35F1">
        <w:rPr>
          <w:rFonts w:ascii="Arial" w:hAnsi="Arial" w:cs="Arial"/>
          <w:bCs/>
          <w:sz w:val="24"/>
          <w:szCs w:val="24"/>
        </w:rPr>
        <w:t>un caso</w:t>
      </w:r>
      <w:r w:rsidRPr="006A35F1">
        <w:rPr>
          <w:rFonts w:ascii="Arial" w:hAnsi="Arial" w:cs="Arial"/>
          <w:sz w:val="24"/>
          <w:szCs w:val="24"/>
        </w:rPr>
        <w:t xml:space="preserve"> que requirió tratamiento por cinco días con IgIV luego de </w:t>
      </w:r>
      <w:r w:rsidR="00697702" w:rsidRPr="006A35F1">
        <w:rPr>
          <w:rFonts w:ascii="Arial" w:hAnsi="Arial" w:cs="Arial"/>
          <w:bCs/>
          <w:sz w:val="24"/>
          <w:szCs w:val="24"/>
        </w:rPr>
        <w:t>haber presentado</w:t>
      </w:r>
      <w:r w:rsidRPr="006A35F1">
        <w:rPr>
          <w:rFonts w:ascii="Arial" w:hAnsi="Arial" w:cs="Arial"/>
          <w:sz w:val="24"/>
          <w:szCs w:val="24"/>
        </w:rPr>
        <w:t xml:space="preserve"> una recaída clínica posterior al tratamiento por siete días con dexametasona intravenosa. </w:t>
      </w:r>
      <w:r w:rsidR="0019494A" w:rsidRPr="006A35F1">
        <w:rPr>
          <w:rFonts w:ascii="Arial" w:hAnsi="Arial" w:cs="Arial"/>
          <w:bCs/>
          <w:sz w:val="24"/>
          <w:szCs w:val="24"/>
        </w:rPr>
        <w:t>Demostró</w:t>
      </w:r>
      <w:r w:rsidRPr="006A35F1">
        <w:rPr>
          <w:rFonts w:ascii="Arial" w:hAnsi="Arial" w:cs="Arial"/>
          <w:sz w:val="24"/>
          <w:szCs w:val="24"/>
        </w:rPr>
        <w:t xml:space="preserve"> una respuesta inmediata dentro de las 24 horas de instaurado el tratamiento, con una gran mejoría clínica, logrando el egreso hospitalario sin volver a presentar recaídas. En 2011, V.Mijailovic et.al </w:t>
      </w:r>
      <w:r w:rsidRPr="006A35F1">
        <w:rPr>
          <w:rFonts w:ascii="Arial" w:hAnsi="Arial" w:cs="Arial"/>
          <w:sz w:val="24"/>
          <w:szCs w:val="24"/>
          <w:vertAlign w:val="superscript"/>
        </w:rPr>
        <w:t>5</w:t>
      </w:r>
      <w:r w:rsidRPr="006A35F1">
        <w:rPr>
          <w:rFonts w:ascii="Arial" w:hAnsi="Arial" w:cs="Arial"/>
          <w:sz w:val="24"/>
          <w:szCs w:val="24"/>
        </w:rPr>
        <w:t xml:space="preserve"> plantearon </w:t>
      </w:r>
      <w:r w:rsidR="00F94B30" w:rsidRPr="006A35F1">
        <w:rPr>
          <w:rFonts w:ascii="Arial" w:hAnsi="Arial" w:cs="Arial"/>
          <w:bCs/>
          <w:sz w:val="24"/>
          <w:szCs w:val="24"/>
        </w:rPr>
        <w:t>el beneficio</w:t>
      </w:r>
      <w:r w:rsidRPr="006A35F1">
        <w:rPr>
          <w:rFonts w:ascii="Arial" w:hAnsi="Arial" w:cs="Arial"/>
          <w:sz w:val="24"/>
          <w:szCs w:val="24"/>
        </w:rPr>
        <w:t xml:space="preserve"> del tratamiento con IgIV y plasmaféresis, al describir el caso de una paciente que realizó cinco días de tratamiento con metilprednisolona IV. Por persistencia de ataxia, cefalea e irritabilidad, se decidió discontinuar el tratamiento esteroide </w:t>
      </w:r>
      <w:r w:rsidR="00697702" w:rsidRPr="006A35F1">
        <w:rPr>
          <w:rFonts w:ascii="Arial" w:hAnsi="Arial" w:cs="Arial"/>
          <w:bCs/>
          <w:sz w:val="24"/>
          <w:szCs w:val="24"/>
        </w:rPr>
        <w:t xml:space="preserve">y se </w:t>
      </w:r>
      <w:r w:rsidRPr="006A35F1">
        <w:rPr>
          <w:rFonts w:ascii="Arial" w:hAnsi="Arial" w:cs="Arial"/>
          <w:bCs/>
          <w:sz w:val="24"/>
          <w:szCs w:val="24"/>
        </w:rPr>
        <w:t>inici</w:t>
      </w:r>
      <w:r w:rsidR="00697702" w:rsidRPr="006A35F1">
        <w:rPr>
          <w:rFonts w:ascii="Arial" w:hAnsi="Arial" w:cs="Arial"/>
          <w:bCs/>
          <w:sz w:val="24"/>
          <w:szCs w:val="24"/>
        </w:rPr>
        <w:t>ó</w:t>
      </w:r>
      <w:r w:rsidRPr="006A35F1">
        <w:rPr>
          <w:rFonts w:ascii="Arial" w:hAnsi="Arial" w:cs="Arial"/>
          <w:sz w:val="24"/>
          <w:szCs w:val="24"/>
        </w:rPr>
        <w:t xml:space="preserve"> infusión de IgIV a 400mg/kg/día por cinco días. No experimentó recaídas durante su seguimiento durante siete años con mejoría tanto de los síntomas neurológicos como psiquiátricos y cognitivos. Al revisar la bibliografía, hallamos un estudio realizado en 2018 po</w:t>
      </w:r>
      <w:r w:rsidRPr="006A35F1">
        <w:rPr>
          <w:rFonts w:ascii="Arial" w:hAnsi="Arial" w:cs="Arial"/>
          <w:bCs/>
          <w:sz w:val="24"/>
          <w:szCs w:val="24"/>
        </w:rPr>
        <w:t xml:space="preserve">r </w:t>
      </w:r>
      <w:r w:rsidR="00D2044D" w:rsidRPr="006A35F1">
        <w:rPr>
          <w:rFonts w:ascii="Arial" w:hAnsi="Arial" w:cs="Arial"/>
          <w:bCs/>
          <w:sz w:val="24"/>
          <w:szCs w:val="24"/>
        </w:rPr>
        <w:t>Laycock K</w:t>
      </w:r>
      <w:r w:rsidRPr="006A35F1">
        <w:rPr>
          <w:rFonts w:ascii="Arial" w:hAnsi="Arial" w:cs="Arial"/>
          <w:sz w:val="24"/>
          <w:szCs w:val="24"/>
        </w:rPr>
        <w:t xml:space="preserve"> et.al </w:t>
      </w:r>
      <w:r w:rsidRPr="006A35F1">
        <w:rPr>
          <w:rFonts w:ascii="Arial" w:hAnsi="Arial" w:cs="Arial"/>
          <w:sz w:val="24"/>
          <w:szCs w:val="24"/>
          <w:vertAlign w:val="superscript"/>
        </w:rPr>
        <w:t>6</w:t>
      </w:r>
      <w:r w:rsidRPr="006A35F1">
        <w:rPr>
          <w:rFonts w:ascii="Arial" w:hAnsi="Arial" w:cs="Arial"/>
          <w:sz w:val="24"/>
          <w:szCs w:val="24"/>
        </w:rPr>
        <w:t xml:space="preserve"> </w:t>
      </w:r>
      <w:r w:rsidR="00F94B30" w:rsidRPr="006A35F1">
        <w:rPr>
          <w:rFonts w:ascii="Arial" w:hAnsi="Arial" w:cs="Arial"/>
          <w:bCs/>
          <w:sz w:val="24"/>
          <w:szCs w:val="24"/>
        </w:rPr>
        <w:t>en el cual se</w:t>
      </w:r>
      <w:r w:rsidRPr="006A35F1">
        <w:rPr>
          <w:rFonts w:ascii="Arial" w:hAnsi="Arial" w:cs="Arial"/>
          <w:sz w:val="24"/>
          <w:szCs w:val="24"/>
        </w:rPr>
        <w:t xml:space="preserve"> utilizó el tratamiento con IgIV como</w:t>
      </w:r>
      <w:r w:rsidR="006C0FAA" w:rsidRPr="006A35F1">
        <w:rPr>
          <w:rFonts w:ascii="Arial" w:hAnsi="Arial" w:cs="Arial"/>
          <w:sz w:val="24"/>
          <w:szCs w:val="24"/>
        </w:rPr>
        <w:t xml:space="preserve"> tratamiento de</w:t>
      </w:r>
      <w:r w:rsidRPr="006A35F1">
        <w:rPr>
          <w:rFonts w:ascii="Arial" w:hAnsi="Arial" w:cs="Arial"/>
          <w:sz w:val="24"/>
          <w:szCs w:val="24"/>
        </w:rPr>
        <w:t xml:space="preserve"> primera línea. En dicho caso, la paciente presentaba un índice de masa corporal (IMC) de 35.7 kg/m², por lo que el tratamiento con glucocorticoides podía conllevar efectos </w:t>
      </w:r>
      <w:r w:rsidRPr="006A35F1">
        <w:rPr>
          <w:rFonts w:ascii="Arial" w:hAnsi="Arial" w:cs="Arial"/>
          <w:sz w:val="24"/>
          <w:szCs w:val="24"/>
        </w:rPr>
        <w:lastRenderedPageBreak/>
        <w:t>adversos</w:t>
      </w:r>
      <w:r w:rsidR="00F94B30" w:rsidRPr="006A35F1">
        <w:rPr>
          <w:rFonts w:ascii="Arial" w:hAnsi="Arial" w:cs="Arial"/>
          <w:sz w:val="24"/>
          <w:szCs w:val="24"/>
        </w:rPr>
        <w:t xml:space="preserve"> </w:t>
      </w:r>
      <w:r w:rsidR="00F94B30" w:rsidRPr="006A35F1">
        <w:rPr>
          <w:rFonts w:ascii="Arial" w:hAnsi="Arial" w:cs="Arial"/>
          <w:bCs/>
          <w:sz w:val="24"/>
          <w:szCs w:val="24"/>
        </w:rPr>
        <w:t>tanto</w:t>
      </w:r>
      <w:r w:rsidRPr="006A35F1">
        <w:rPr>
          <w:rFonts w:ascii="Arial" w:hAnsi="Arial" w:cs="Arial"/>
          <w:sz w:val="24"/>
          <w:szCs w:val="24"/>
        </w:rPr>
        <w:t xml:space="preserve"> </w:t>
      </w:r>
      <w:r w:rsidRPr="006A35F1">
        <w:rPr>
          <w:rFonts w:ascii="Arial" w:hAnsi="Arial" w:cs="Arial"/>
          <w:bCs/>
          <w:sz w:val="24"/>
          <w:szCs w:val="24"/>
        </w:rPr>
        <w:t>metabólico</w:t>
      </w:r>
      <w:r w:rsidR="00F94B30" w:rsidRPr="006A35F1">
        <w:rPr>
          <w:rFonts w:ascii="Arial" w:hAnsi="Arial" w:cs="Arial"/>
          <w:bCs/>
          <w:sz w:val="24"/>
          <w:szCs w:val="24"/>
        </w:rPr>
        <w:t>s</w:t>
      </w:r>
      <w:r w:rsidRPr="006A35F1">
        <w:rPr>
          <w:rFonts w:ascii="Arial" w:hAnsi="Arial" w:cs="Arial"/>
          <w:bCs/>
          <w:sz w:val="24"/>
          <w:szCs w:val="24"/>
        </w:rPr>
        <w:t xml:space="preserve"> </w:t>
      </w:r>
      <w:r w:rsidR="00F94B30" w:rsidRPr="006A35F1">
        <w:rPr>
          <w:rFonts w:ascii="Arial" w:hAnsi="Arial" w:cs="Arial"/>
          <w:bCs/>
          <w:sz w:val="24"/>
          <w:szCs w:val="24"/>
        </w:rPr>
        <w:t>como</w:t>
      </w:r>
      <w:r w:rsidRPr="006A35F1">
        <w:rPr>
          <w:rFonts w:ascii="Arial" w:hAnsi="Arial" w:cs="Arial"/>
          <w:bCs/>
          <w:sz w:val="24"/>
          <w:szCs w:val="24"/>
        </w:rPr>
        <w:t xml:space="preserve"> endocrinológico</w:t>
      </w:r>
      <w:r w:rsidR="00F94B30" w:rsidRPr="006A35F1">
        <w:rPr>
          <w:rFonts w:ascii="Arial" w:hAnsi="Arial" w:cs="Arial"/>
          <w:bCs/>
          <w:sz w:val="24"/>
          <w:szCs w:val="24"/>
        </w:rPr>
        <w:t>s</w:t>
      </w:r>
      <w:r w:rsidRPr="006A35F1">
        <w:rPr>
          <w:rFonts w:ascii="Arial" w:hAnsi="Arial" w:cs="Arial"/>
          <w:sz w:val="24"/>
          <w:szCs w:val="24"/>
        </w:rPr>
        <w:t xml:space="preserve">. Como resultado, se evidenció una mejoría de las funciones cognitivas e intelectuales, siendo el único caso publicado de EH que recibió tratamiento con IgIV como primera línea. </w:t>
      </w:r>
    </w:p>
    <w:p w14:paraId="73D8F0EC" w14:textId="1D5CA503" w:rsidR="00E91B0D" w:rsidRPr="006A35F1" w:rsidRDefault="00570B35" w:rsidP="006A35F1">
      <w:pPr>
        <w:pBdr>
          <w:top w:val="nil"/>
          <w:left w:val="nil"/>
          <w:bottom w:val="nil"/>
          <w:right w:val="nil"/>
          <w:between w:val="nil"/>
        </w:pBdr>
        <w:spacing w:after="0" w:line="360" w:lineRule="auto"/>
        <w:jc w:val="both"/>
        <w:rPr>
          <w:rFonts w:ascii="Arial" w:hAnsi="Arial" w:cs="Arial"/>
          <w:sz w:val="24"/>
          <w:szCs w:val="24"/>
        </w:rPr>
      </w:pPr>
      <w:r w:rsidRPr="006A35F1">
        <w:rPr>
          <w:rFonts w:ascii="Arial" w:hAnsi="Arial" w:cs="Arial"/>
          <w:sz w:val="24"/>
          <w:szCs w:val="24"/>
        </w:rPr>
        <w:t xml:space="preserve"> </w:t>
      </w:r>
      <w:r w:rsidRPr="006A35F1">
        <w:rPr>
          <w:rFonts w:ascii="Arial" w:hAnsi="Arial" w:cs="Arial"/>
          <w:sz w:val="24"/>
          <w:szCs w:val="24"/>
        </w:rPr>
        <w:tab/>
      </w:r>
    </w:p>
    <w:p w14:paraId="649F8FBC" w14:textId="64D3B7FB" w:rsidR="00E91B0D" w:rsidRPr="006A560E" w:rsidRDefault="00570B35" w:rsidP="00016FBE">
      <w:pPr>
        <w:spacing w:after="0" w:line="360" w:lineRule="auto"/>
        <w:rPr>
          <w:rFonts w:ascii="Arial" w:hAnsi="Arial" w:cs="Arial"/>
          <w:b/>
          <w:sz w:val="24"/>
          <w:szCs w:val="24"/>
        </w:rPr>
      </w:pPr>
      <w:r w:rsidRPr="006A560E">
        <w:rPr>
          <w:rFonts w:ascii="Arial" w:hAnsi="Arial" w:cs="Arial"/>
          <w:b/>
          <w:sz w:val="24"/>
          <w:szCs w:val="24"/>
        </w:rPr>
        <w:t>Conclusión</w:t>
      </w:r>
      <w:r w:rsidR="006A560E" w:rsidRPr="006A560E">
        <w:rPr>
          <w:rFonts w:ascii="Arial" w:hAnsi="Arial" w:cs="Arial"/>
          <w:b/>
          <w:sz w:val="24"/>
          <w:szCs w:val="24"/>
        </w:rPr>
        <w:t>:</w:t>
      </w:r>
    </w:p>
    <w:p w14:paraId="0F91FB90" w14:textId="6D8248FF" w:rsidR="00E91B0D" w:rsidRPr="006A35F1" w:rsidRDefault="00570B35" w:rsidP="00016FBE">
      <w:pPr>
        <w:spacing w:after="0" w:line="360" w:lineRule="auto"/>
        <w:jc w:val="both"/>
        <w:rPr>
          <w:rFonts w:ascii="Arial" w:hAnsi="Arial" w:cs="Arial"/>
          <w:sz w:val="24"/>
          <w:szCs w:val="24"/>
        </w:rPr>
      </w:pPr>
      <w:r w:rsidRPr="006A35F1">
        <w:rPr>
          <w:rFonts w:ascii="Arial" w:hAnsi="Arial" w:cs="Arial"/>
          <w:sz w:val="24"/>
          <w:szCs w:val="24"/>
        </w:rPr>
        <w:t xml:space="preserve">Actualmente la EH constituye un desafío médico, dada su baja prevalencia en la población general. Debe ser considerada dentro del diagnóstico diferencial en pacientes con encefalitis, ya que </w:t>
      </w:r>
      <w:r w:rsidR="009B705D" w:rsidRPr="006A35F1">
        <w:rPr>
          <w:rFonts w:ascii="Arial" w:hAnsi="Arial" w:cs="Arial"/>
          <w:bCs/>
          <w:sz w:val="24"/>
          <w:szCs w:val="24"/>
        </w:rPr>
        <w:t>un tratamiento precoz</w:t>
      </w:r>
      <w:r w:rsidRPr="006A35F1">
        <w:rPr>
          <w:rFonts w:ascii="Arial" w:hAnsi="Arial" w:cs="Arial"/>
          <w:sz w:val="24"/>
          <w:szCs w:val="24"/>
        </w:rPr>
        <w:t xml:space="preserve"> es de vital importancia para el pronóstico del paciente. Si bien la mayoría de los pacientes responden</w:t>
      </w:r>
      <w:r w:rsidR="009B705D" w:rsidRPr="006A35F1">
        <w:rPr>
          <w:rFonts w:ascii="Arial" w:hAnsi="Arial" w:cs="Arial"/>
          <w:sz w:val="24"/>
          <w:szCs w:val="24"/>
        </w:rPr>
        <w:t xml:space="preserve"> </w:t>
      </w:r>
      <w:r w:rsidR="009B705D" w:rsidRPr="006A35F1">
        <w:rPr>
          <w:rFonts w:ascii="Arial" w:hAnsi="Arial" w:cs="Arial"/>
          <w:bCs/>
          <w:sz w:val="24"/>
          <w:szCs w:val="24"/>
        </w:rPr>
        <w:t>adecuadamente</w:t>
      </w:r>
      <w:r w:rsidRPr="006A35F1">
        <w:rPr>
          <w:rFonts w:ascii="Arial" w:hAnsi="Arial" w:cs="Arial"/>
          <w:sz w:val="24"/>
          <w:szCs w:val="24"/>
        </w:rPr>
        <w:t xml:space="preserve"> a la terapia inmunosupresora con glucocorticoides, existe un pequeño número de casos que requieren </w:t>
      </w:r>
      <w:r w:rsidR="009B705D" w:rsidRPr="006A35F1">
        <w:rPr>
          <w:rFonts w:ascii="Arial" w:hAnsi="Arial" w:cs="Arial"/>
          <w:bCs/>
          <w:sz w:val="24"/>
          <w:szCs w:val="24"/>
        </w:rPr>
        <w:t>tratamiento</w:t>
      </w:r>
      <w:r w:rsidRPr="006A35F1">
        <w:rPr>
          <w:rFonts w:ascii="Arial" w:hAnsi="Arial" w:cs="Arial"/>
          <w:sz w:val="24"/>
          <w:szCs w:val="24"/>
        </w:rPr>
        <w:t xml:space="preserve"> con inmunoglobulinas o incluso plasmaféresis. </w:t>
      </w:r>
      <w:r w:rsidR="005978BC" w:rsidRPr="006A35F1">
        <w:rPr>
          <w:rFonts w:ascii="Arial" w:hAnsi="Arial" w:cs="Arial"/>
          <w:sz w:val="24"/>
          <w:szCs w:val="24"/>
        </w:rPr>
        <w:t>La terapia con IgIV debe ser considerada en pacientes con EH resistentes a esteroides, puesto que un tratamiento precoz mejora la evolución clínica del paciente y disminuye la probabilidad de recaída a largo plazo.</w:t>
      </w:r>
    </w:p>
    <w:p w14:paraId="6AA5B950" w14:textId="77777777" w:rsidR="00E91B0D" w:rsidRPr="006A35F1" w:rsidRDefault="00E91B0D" w:rsidP="00016FBE">
      <w:pPr>
        <w:pBdr>
          <w:top w:val="nil"/>
          <w:left w:val="nil"/>
          <w:bottom w:val="nil"/>
          <w:right w:val="nil"/>
          <w:between w:val="nil"/>
        </w:pBdr>
        <w:spacing w:after="0" w:line="360" w:lineRule="auto"/>
        <w:jc w:val="both"/>
        <w:rPr>
          <w:rFonts w:ascii="Arial" w:hAnsi="Arial" w:cs="Arial"/>
          <w:sz w:val="24"/>
          <w:szCs w:val="24"/>
        </w:rPr>
      </w:pPr>
    </w:p>
    <w:p w14:paraId="0EF7FF3D" w14:textId="77777777" w:rsidR="00E91B0D" w:rsidRPr="006A35F1" w:rsidRDefault="00E91B0D" w:rsidP="00016FBE">
      <w:pPr>
        <w:pBdr>
          <w:top w:val="nil"/>
          <w:left w:val="nil"/>
          <w:bottom w:val="nil"/>
          <w:right w:val="nil"/>
          <w:between w:val="nil"/>
        </w:pBdr>
        <w:spacing w:after="0" w:line="360" w:lineRule="auto"/>
        <w:rPr>
          <w:rFonts w:ascii="Arial" w:hAnsi="Arial" w:cs="Arial"/>
          <w:sz w:val="24"/>
          <w:szCs w:val="24"/>
        </w:rPr>
      </w:pPr>
      <w:bookmarkStart w:id="0" w:name="_GoBack"/>
      <w:bookmarkEnd w:id="0"/>
    </w:p>
    <w:p w14:paraId="5B07795C" w14:textId="2D97F325" w:rsidR="00E91B0D" w:rsidRPr="006A560E" w:rsidRDefault="00570B35" w:rsidP="00016FBE">
      <w:pPr>
        <w:pBdr>
          <w:top w:val="nil"/>
          <w:left w:val="nil"/>
          <w:bottom w:val="nil"/>
          <w:right w:val="nil"/>
          <w:between w:val="nil"/>
        </w:pBdr>
        <w:spacing w:after="0" w:line="360" w:lineRule="auto"/>
        <w:jc w:val="both"/>
        <w:rPr>
          <w:rFonts w:ascii="Arial" w:hAnsi="Arial" w:cs="Arial"/>
          <w:b/>
          <w:sz w:val="24"/>
          <w:szCs w:val="24"/>
          <w:lang w:val="en-GB"/>
        </w:rPr>
      </w:pPr>
      <w:r w:rsidRPr="006A560E">
        <w:rPr>
          <w:rFonts w:ascii="Arial" w:hAnsi="Arial" w:cs="Arial"/>
          <w:b/>
          <w:sz w:val="24"/>
          <w:szCs w:val="24"/>
          <w:lang w:val="en-GB"/>
        </w:rPr>
        <w:t>Referencias</w:t>
      </w:r>
      <w:r w:rsidR="006A560E" w:rsidRPr="006A560E">
        <w:rPr>
          <w:rFonts w:ascii="Arial" w:hAnsi="Arial" w:cs="Arial"/>
          <w:b/>
          <w:sz w:val="24"/>
          <w:szCs w:val="24"/>
          <w:lang w:val="en-GB"/>
        </w:rPr>
        <w:t>:</w:t>
      </w:r>
    </w:p>
    <w:p w14:paraId="10308C34" w14:textId="6478DF89" w:rsidR="0024651B" w:rsidRPr="006A35F1" w:rsidRDefault="0024651B" w:rsidP="0024651B">
      <w:pPr>
        <w:spacing w:before="240" w:after="240" w:line="360" w:lineRule="auto"/>
        <w:rPr>
          <w:rFonts w:ascii="Arial" w:hAnsi="Arial" w:cs="Arial"/>
          <w:sz w:val="24"/>
          <w:szCs w:val="24"/>
          <w:lang w:val="en-US"/>
        </w:rPr>
      </w:pPr>
      <w:r w:rsidRPr="006A35F1">
        <w:rPr>
          <w:rFonts w:ascii="Arial" w:hAnsi="Arial" w:cs="Arial"/>
          <w:sz w:val="24"/>
          <w:szCs w:val="24"/>
          <w:lang w:val="en-US"/>
        </w:rPr>
        <w:t xml:space="preserve">1.- Ferracci F, Moretto G, Candeago R M, Cimini N, Conte F, Gentile M, Papa N, Carnevale A et al. Antithyroid antibodies in the CSF Their role in the pathogenesis of Hashimoto’s encephalopathy. Neurol 2003; 60(4): 712-714. doi: 10.1212/01.wnl.0000048660.71390.c6. </w:t>
      </w:r>
    </w:p>
    <w:p w14:paraId="00C596C7" w14:textId="05977EC3" w:rsidR="0024651B" w:rsidRPr="006A35F1" w:rsidRDefault="0024651B" w:rsidP="0024651B">
      <w:pPr>
        <w:spacing w:before="240" w:after="240" w:line="360" w:lineRule="auto"/>
        <w:rPr>
          <w:rFonts w:ascii="Arial" w:hAnsi="Arial" w:cs="Arial"/>
          <w:sz w:val="24"/>
          <w:szCs w:val="24"/>
          <w:lang w:val="en-US"/>
        </w:rPr>
      </w:pPr>
      <w:r w:rsidRPr="006A35F1">
        <w:rPr>
          <w:rFonts w:ascii="Arial" w:hAnsi="Arial" w:cs="Arial"/>
          <w:sz w:val="24"/>
          <w:szCs w:val="24"/>
          <w:lang w:val="en-US"/>
        </w:rPr>
        <w:t>2.- Kothbauer-Margeriter I, Sturzenegger J, Komor R, Hess CW. Encephalopathy associated with Hashimoto thyroiditis: diagnosis and treatment. J Neurol 1996; 243(8): 585-593. doi: 10.1007/BF00900946.</w:t>
      </w:r>
    </w:p>
    <w:p w14:paraId="2D865663" w14:textId="37C6EA94" w:rsidR="0024651B" w:rsidRPr="006A35F1" w:rsidRDefault="0024651B" w:rsidP="0024651B">
      <w:pPr>
        <w:spacing w:before="240" w:after="240" w:line="360" w:lineRule="auto"/>
        <w:rPr>
          <w:rFonts w:ascii="Arial" w:hAnsi="Arial" w:cs="Arial"/>
          <w:sz w:val="24"/>
          <w:szCs w:val="24"/>
          <w:lang w:val="en-US"/>
        </w:rPr>
      </w:pPr>
      <w:r w:rsidRPr="006A35F1">
        <w:rPr>
          <w:rFonts w:ascii="Arial" w:hAnsi="Arial" w:cs="Arial"/>
          <w:sz w:val="24"/>
          <w:szCs w:val="24"/>
          <w:lang w:val="en-US"/>
        </w:rPr>
        <w:t>3.- Brain L, Jellinek E H, Ball K. Hashimoto´s disease and encephalopathy. Lancet 1966 3 ;2(7462): 512-4. doi: 10.1016/s0140-6736(66)92876-5.</w:t>
      </w:r>
    </w:p>
    <w:p w14:paraId="267C45E3" w14:textId="2BF1B93F" w:rsidR="0024651B" w:rsidRPr="006A35F1" w:rsidRDefault="0024651B" w:rsidP="0024651B">
      <w:pPr>
        <w:spacing w:before="240" w:after="240" w:line="360" w:lineRule="auto"/>
        <w:rPr>
          <w:rFonts w:ascii="Arial" w:hAnsi="Arial" w:cs="Arial"/>
          <w:sz w:val="24"/>
          <w:szCs w:val="24"/>
          <w:lang w:val="en-US"/>
        </w:rPr>
      </w:pPr>
      <w:r w:rsidRPr="006A35F1">
        <w:rPr>
          <w:rFonts w:ascii="Arial" w:hAnsi="Arial" w:cs="Arial"/>
          <w:sz w:val="24"/>
          <w:szCs w:val="24"/>
          <w:lang w:val="en-US"/>
        </w:rPr>
        <w:t>4.- Jacob S, Rajabally YA. Hashimoto's encephalopathy: steroid resistance and response to intravenous immunoglobulins J Neurol Neurosurg Psychiatry 2005; 76(3): 455-6. doi: 10.1136/jnnp.2004.049395.</w:t>
      </w:r>
    </w:p>
    <w:p w14:paraId="6179964D" w14:textId="4787D8F4" w:rsidR="0024651B" w:rsidRPr="006A35F1" w:rsidRDefault="0024651B" w:rsidP="0024651B">
      <w:pPr>
        <w:spacing w:before="240" w:after="240" w:line="360" w:lineRule="auto"/>
        <w:rPr>
          <w:rFonts w:ascii="Arial" w:hAnsi="Arial" w:cs="Arial"/>
          <w:sz w:val="24"/>
          <w:szCs w:val="24"/>
          <w:lang w:val="en-US"/>
        </w:rPr>
      </w:pPr>
      <w:r w:rsidRPr="006A35F1">
        <w:rPr>
          <w:rFonts w:ascii="Arial" w:hAnsi="Arial" w:cs="Arial"/>
          <w:sz w:val="24"/>
          <w:szCs w:val="24"/>
          <w:lang w:val="en-US"/>
        </w:rPr>
        <w:lastRenderedPageBreak/>
        <w:t>5.- Drulović J, Andrejević S, Bonaci-Nikolić B, Mijailović V. Hashimoto's encephalopathy: a long-lasting remission induced by intravenous immunoglobulins. Vojnosanit Pregl. 2011; 68(5): 452-4. doi: 10.2298/vsp1105452d.</w:t>
      </w:r>
    </w:p>
    <w:p w14:paraId="63D5398D" w14:textId="43251DB0" w:rsidR="00E91B0D" w:rsidRPr="006A35F1" w:rsidRDefault="0024651B" w:rsidP="0024651B">
      <w:pPr>
        <w:spacing w:before="240" w:after="240" w:line="360" w:lineRule="auto"/>
        <w:rPr>
          <w:rFonts w:ascii="Arial" w:hAnsi="Arial" w:cs="Arial"/>
          <w:sz w:val="24"/>
          <w:szCs w:val="24"/>
          <w:lang w:val="en-US"/>
        </w:rPr>
      </w:pPr>
      <w:r w:rsidRPr="006A35F1">
        <w:rPr>
          <w:rFonts w:ascii="Arial" w:hAnsi="Arial" w:cs="Arial"/>
          <w:sz w:val="24"/>
          <w:szCs w:val="24"/>
          <w:lang w:val="en-US"/>
        </w:rPr>
        <w:t>6.- Laycock K, Chaudhuri A, Fuller C, Khatami Z, Nkonge F, Stojanovic N. A novel assessment and treatment approach to patients with Hashimoto's encephalopathy. Endocrinol Diabetes Metab Case Rep. 2018; 2018: 17-0117. doi: 10.1530/EDM-17-0117.</w:t>
      </w:r>
    </w:p>
    <w:sectPr w:rsidR="00E91B0D" w:rsidRPr="006A35F1" w:rsidSect="00A60633">
      <w:footerReference w:type="default" r:id="rId8"/>
      <w:type w:val="continuous"/>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66EFB" w14:textId="77777777" w:rsidR="0074466F" w:rsidRDefault="0074466F" w:rsidP="00875CC4">
      <w:pPr>
        <w:spacing w:after="0" w:line="240" w:lineRule="auto"/>
      </w:pPr>
      <w:r>
        <w:separator/>
      </w:r>
    </w:p>
  </w:endnote>
  <w:endnote w:type="continuationSeparator" w:id="0">
    <w:p w14:paraId="1232A2B4" w14:textId="77777777" w:rsidR="0074466F" w:rsidRDefault="0074466F" w:rsidP="0087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693856"/>
      <w:docPartObj>
        <w:docPartGallery w:val="Page Numbers (Bottom of Page)"/>
        <w:docPartUnique/>
      </w:docPartObj>
    </w:sdtPr>
    <w:sdtEndPr/>
    <w:sdtContent>
      <w:p w14:paraId="416EBA46" w14:textId="412D742F" w:rsidR="00875CC4" w:rsidRDefault="00875CC4">
        <w:pPr>
          <w:pStyle w:val="Piedepgina"/>
          <w:jc w:val="right"/>
        </w:pPr>
        <w:r>
          <w:fldChar w:fldCharType="begin"/>
        </w:r>
        <w:r>
          <w:instrText>PAGE   \* MERGEFORMAT</w:instrText>
        </w:r>
        <w:r>
          <w:fldChar w:fldCharType="separate"/>
        </w:r>
        <w:r w:rsidR="006A560E" w:rsidRPr="006A560E">
          <w:rPr>
            <w:noProof/>
            <w:lang w:val="es-ES"/>
          </w:rPr>
          <w:t>4</w:t>
        </w:r>
        <w:r>
          <w:fldChar w:fldCharType="end"/>
        </w:r>
      </w:p>
    </w:sdtContent>
  </w:sdt>
  <w:p w14:paraId="29AF4E33" w14:textId="77777777" w:rsidR="00875CC4" w:rsidRDefault="00875CC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E4213" w14:textId="77777777" w:rsidR="0074466F" w:rsidRDefault="0074466F" w:rsidP="00875CC4">
      <w:pPr>
        <w:spacing w:after="0" w:line="240" w:lineRule="auto"/>
      </w:pPr>
      <w:r>
        <w:separator/>
      </w:r>
    </w:p>
  </w:footnote>
  <w:footnote w:type="continuationSeparator" w:id="0">
    <w:p w14:paraId="406B9A27" w14:textId="77777777" w:rsidR="0074466F" w:rsidRDefault="0074466F" w:rsidP="00875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10C31"/>
    <w:multiLevelType w:val="multilevel"/>
    <w:tmpl w:val="AADEA0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36869A2"/>
    <w:multiLevelType w:val="multilevel"/>
    <w:tmpl w:val="9912D1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7035009A"/>
    <w:multiLevelType w:val="multilevel"/>
    <w:tmpl w:val="9AD21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94465C6"/>
    <w:multiLevelType w:val="multilevel"/>
    <w:tmpl w:val="6EF4F6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AEE58AB"/>
    <w:multiLevelType w:val="multilevel"/>
    <w:tmpl w:val="D1400F3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0D"/>
    <w:rsid w:val="00016FBE"/>
    <w:rsid w:val="000D2BDA"/>
    <w:rsid w:val="00124ED0"/>
    <w:rsid w:val="001413E7"/>
    <w:rsid w:val="00183A88"/>
    <w:rsid w:val="00187620"/>
    <w:rsid w:val="0019494A"/>
    <w:rsid w:val="0024651B"/>
    <w:rsid w:val="002468D5"/>
    <w:rsid w:val="002D1AFD"/>
    <w:rsid w:val="002F100B"/>
    <w:rsid w:val="00326D7F"/>
    <w:rsid w:val="003613C4"/>
    <w:rsid w:val="003D3BDD"/>
    <w:rsid w:val="003D5886"/>
    <w:rsid w:val="0040007A"/>
    <w:rsid w:val="004435AB"/>
    <w:rsid w:val="0046034F"/>
    <w:rsid w:val="004D5779"/>
    <w:rsid w:val="00570B35"/>
    <w:rsid w:val="005978BC"/>
    <w:rsid w:val="006067BC"/>
    <w:rsid w:val="0064068E"/>
    <w:rsid w:val="00697702"/>
    <w:rsid w:val="006A35F1"/>
    <w:rsid w:val="006A560E"/>
    <w:rsid w:val="006C0FAA"/>
    <w:rsid w:val="0074466F"/>
    <w:rsid w:val="007B6C11"/>
    <w:rsid w:val="007B7005"/>
    <w:rsid w:val="00807B2B"/>
    <w:rsid w:val="00875CC4"/>
    <w:rsid w:val="00892173"/>
    <w:rsid w:val="008A7AF4"/>
    <w:rsid w:val="008B661B"/>
    <w:rsid w:val="008F1076"/>
    <w:rsid w:val="009B705D"/>
    <w:rsid w:val="00A12ADB"/>
    <w:rsid w:val="00A53F5F"/>
    <w:rsid w:val="00A60633"/>
    <w:rsid w:val="00A90C63"/>
    <w:rsid w:val="00A94CAD"/>
    <w:rsid w:val="00AC22C2"/>
    <w:rsid w:val="00BC6669"/>
    <w:rsid w:val="00D200C1"/>
    <w:rsid w:val="00D2044D"/>
    <w:rsid w:val="00D77E85"/>
    <w:rsid w:val="00DC41AA"/>
    <w:rsid w:val="00E66A38"/>
    <w:rsid w:val="00E91B0D"/>
    <w:rsid w:val="00EA4B04"/>
    <w:rsid w:val="00EE5D36"/>
    <w:rsid w:val="00F855FD"/>
    <w:rsid w:val="00F94B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0018"/>
  <w15:docId w15:val="{97590A39-0499-443D-85CD-5751289C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inespaciado">
    <w:name w:val="No Spacing"/>
    <w:uiPriority w:val="1"/>
    <w:qFormat/>
    <w:rsid w:val="006F13EC"/>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F56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5694"/>
    <w:rPr>
      <w:rFonts w:ascii="Tahoma" w:hAnsi="Tahoma" w:cs="Tahoma"/>
      <w:sz w:val="16"/>
      <w:szCs w:val="16"/>
    </w:rPr>
  </w:style>
  <w:style w:type="table" w:customStyle="1" w:styleId="a0">
    <w:basedOn w:val="TableNormal0"/>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AC22C2"/>
    <w:rPr>
      <w:color w:val="0563C1" w:themeColor="hyperlink"/>
      <w:u w:val="single"/>
    </w:rPr>
  </w:style>
  <w:style w:type="paragraph" w:styleId="Encabezado">
    <w:name w:val="header"/>
    <w:basedOn w:val="Normal"/>
    <w:link w:val="EncabezadoCar"/>
    <w:uiPriority w:val="99"/>
    <w:unhideWhenUsed/>
    <w:rsid w:val="00875C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5CC4"/>
  </w:style>
  <w:style w:type="paragraph" w:styleId="Piedepgina">
    <w:name w:val="footer"/>
    <w:basedOn w:val="Normal"/>
    <w:link w:val="PiedepginaCar"/>
    <w:uiPriority w:val="99"/>
    <w:unhideWhenUsed/>
    <w:rsid w:val="00875C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5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O4Bd4HA2IDWeJ3vG3T6LYIMkhg==">AMUW2mWlXq80XxfFgc4XkDloJqKpG+3yFtS7h78hBN5aMLNsS/VaiB+Ja43Wr/g50Yba2whNoYWGLNkOvJoRT0HcQkstXknMBqqvD/xXR6fHSNyeGYpbSIFPj68kq/gN0Vj6s1t8/hDG6wmThUhm06/dMNnJNnWkbaWQYzqzc1KIeHhLFQQWaTU=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1790</Words>
  <Characters>9847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García Gili</dc:creator>
  <cp:lastModifiedBy>Carlos San Román</cp:lastModifiedBy>
  <cp:revision>2</cp:revision>
  <dcterms:created xsi:type="dcterms:W3CDTF">2021-06-16T15:22:00Z</dcterms:created>
  <dcterms:modified xsi:type="dcterms:W3CDTF">2021-06-16T15:22:00Z</dcterms:modified>
</cp:coreProperties>
</file>